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17a BEGDV 2 — Zahlung der Rente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Rente wird in monatlich vorauszahlbaren Beträgen vom Ersten des Monats an gezahlt, in dem die Voraussetzungen für den Rentenanspruch erfüllt sind, frühestens jedoch vom 1. November 1953 an.</w:t>
      </w:r>
    </w:p>
    <w:p>
      <w:r>
        <w:t xml:space="preserve">(2) Der Mindestbetrag der Rente nach § 32 Abs. 2 BEG wird vom Ersten des Monats an gezahlt, in dem der Verfolgte das 65. Lebensjahr vollendet; bei Frauen tritt an Stelle des 65. das 60. Lebensjahr.</w:t>
      </w:r>
    </w:p>
    <w:p>
      <w:r>
        <w:t xml:space="preserve">(3) Die errechneten und die auszuzahlenden Beträge der Rente sind jeweils auf volle Deutsche Mark, ab dem 1. Januar 2002 auf volle Euro aufzurunden.</w:t>
      </w:r>
    </w:p>
    <w:p>
      <w:r>
        <w:rPr>
          <w:color w:val="555555"/>
          <w:sz w:val="17"/>
        </w:rPr>
        <w:t xml:space="preserve">Zitiervorschlag: § 17a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https://recht.nulegal.eu/gesetze/BEGDV%202/17a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