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15a BEGDV 2 — Zuschläge und Abschläge bei der Bemessung des Hundertsatzes</w:t>
      </w:r>
    </w:p>
    <w:p>
      <w:r>
        <w:rPr>
          <w:color w:val="555555"/>
          <w:sz w:val="18"/>
        </w:rPr>
        <w:t xml:space="preserve">Zweite Verordnung zur Durchführung des Bundesentschädigungsgesetzes</w:t>
      </w:r>
    </w:p>
    <w:p>
      <w:r>
        <w:rPr>
          <w:color w:val="555555"/>
          <w:sz w:val="18"/>
        </w:rPr>
        <w:t xml:space="preserve">Stand: 20.04.2024 (konsolidierte Textfassung, kein amtliches Inkrafttretensdatum)</w:t>
      </w:r>
    </w:p>
    <w:p>
      <w:r>
        <w:t xml:space="preserve">(1) Bei der Bemessung des Hundertsatzes nach § 15 sind im Regelfall folgende Zuschläge zu dem jeweiligen Mittelwert der in § 31 Abs. 6 BEG festgelegten Hundertsätze vorzunehmen:</w:t>
      </w:r>
    </w:p>
    <w:p>
      <w:pPr>
        <w:ind w:left="420"/>
      </w:pPr>
      <w:r>
        <w:t xml:space="preserve">1. für Leistungen auf Grund gesetzlicher Unterhaltsverpflichtungen</w:t>
      </w:r>
    </w:p>
    <w:p>
      <w:r>
        <w:rPr>
          <w:rFonts w:ascii="Courier New" w:hAnsi="Courier New"/>
          <w:sz w:val="17"/>
        </w:rPr>
        <w:t xml:space="preserve">a)    bei Verheirateten:    </w:t>
      </w:r>
    </w:p>
    <w:p>
      <w:r>
        <w:rPr>
          <w:rFonts w:ascii="Courier New" w:hAnsi="Courier New"/>
          <w:sz w:val="17"/>
        </w:rPr>
        <w:t xml:space="preserve">für den Ehegatten    5 vom Hundert,</w:t>
      </w:r>
    </w:p>
    <w:p>
      <w:r>
        <w:rPr>
          <w:rFonts w:ascii="Courier New" w:hAnsi="Courier New"/>
          <w:sz w:val="17"/>
        </w:rPr>
        <w:t xml:space="preserve">für jede sonstige unterhaltsberechtigte Person    2,5 vom Hundert,</w:t>
      </w:r>
    </w:p>
    <w:p>
      <w:r>
        <w:rPr>
          <w:rFonts w:ascii="Courier New" w:hAnsi="Courier New"/>
          <w:sz w:val="17"/>
        </w:rPr>
        <w:t xml:space="preserve">b)    bei Unverheirateten:    </w:t>
      </w:r>
    </w:p>
    <w:p>
      <w:r>
        <w:rPr>
          <w:rFonts w:ascii="Courier New" w:hAnsi="Courier New"/>
          <w:sz w:val="17"/>
        </w:rPr>
        <w:t xml:space="preserve">für jede unterhaltsberechtigte Person    2,5 vom Hundert,</w:t>
      </w:r>
    </w:p>
    <w:p>
      <w:pPr>
        <w:ind w:left="420"/>
      </w:pPr>
      <w:r>
        <w:t xml:space="preserve">2. für eine allgemeine Minderungder Erwerbsfähigkeit ab</w:t>
      </w:r>
    </w:p>
    <w:p>
      <w:r>
        <w:rPr>
          <w:rFonts w:ascii="Courier New" w:hAnsi="Courier New"/>
          <w:sz w:val="17"/>
        </w:rPr>
        <w:t xml:space="preserve">80 vom Hundert    5 vom Hundert,</w:t>
      </w:r>
    </w:p>
    <w:p>
      <w:pPr>
        <w:ind w:left="420"/>
      </w:pPr>
      <w:r>
        <w:t xml:space="preserve">3. für eine erhebliche Entstellung,Verstümmelung oder Lähmung,sofern diese bei der Bemessungder verfolgungsbedingten Minderungder Erwerbsfähigkeit nicht</w:t>
      </w:r>
    </w:p>
    <w:p>
      <w:r>
        <w:rPr>
          <w:rFonts w:ascii="Courier New" w:hAnsi="Courier New"/>
          <w:sz w:val="17"/>
        </w:rPr>
        <w:t xml:space="preserve">berücksichtigt worden ist,    2,5 vom Hundert.</w:t>
      </w:r>
    </w:p>
    <w:p>
      <w:r>
        <w:t xml:space="preserve">Der Zuschlag nach Nummer 1 entfällt, wenn der Ehegatte oder die sonstige unterhaltsberechtigte Person ein</w:t>
      </w:r>
    </w:p>
    <w:p>
      <w:r>
        <w:rPr>
          <w:rFonts w:ascii="Courier New" w:hAnsi="Courier New"/>
          <w:sz w:val="17"/>
        </w:rPr>
        <w:t xml:space="preserve">eigenes Einkommen von mindestens    300 Deutsche Mark,</w:t>
      </w:r>
    </w:p>
    <w:p>
      <w:r>
        <w:rPr>
          <w:rFonts w:ascii="Courier New" w:hAnsi="Courier New"/>
          <w:sz w:val="17"/>
        </w:rPr>
        <w:t xml:space="preserve">ab 1. Januar 1972 von mindestens    400 Deutsche Mark,</w:t>
      </w:r>
    </w:p>
    <w:p>
      <w:r>
        <w:rPr>
          <w:rFonts w:ascii="Courier New" w:hAnsi="Courier New"/>
          <w:sz w:val="17"/>
        </w:rPr>
        <w:t xml:space="preserve">ab 1. Februar 1976 von mindestens    500 Deutsche Mark,</w:t>
      </w:r>
    </w:p>
    <w:p>
      <w:r>
        <w:rPr>
          <w:rFonts w:ascii="Courier New" w:hAnsi="Courier New"/>
          <w:sz w:val="17"/>
        </w:rPr>
        <w:t xml:space="preserve">ab 1. März 1980 von mindestens    600 Deutsche Mark,</w:t>
      </w:r>
    </w:p>
    <w:p>
      <w:r>
        <w:rPr>
          <w:rFonts w:ascii="Courier New" w:hAnsi="Courier New"/>
          <w:sz w:val="17"/>
        </w:rPr>
        <w:t xml:space="preserve">ab 1. Januar 1985 von mindestens    700 Deutsche Mark,</w:t>
      </w:r>
    </w:p>
    <w:p>
      <w:r>
        <w:rPr>
          <w:rFonts w:ascii="Courier New" w:hAnsi="Courier New"/>
          <w:sz w:val="17"/>
        </w:rPr>
        <w:t xml:space="preserve">ab 1. Januar 1989 von mindestens    800 Deutsche Mark,</w:t>
      </w:r>
    </w:p>
    <w:p>
      <w:r>
        <w:rPr>
          <w:rFonts w:ascii="Courier New" w:hAnsi="Courier New"/>
          <w:sz w:val="17"/>
        </w:rPr>
        <w:t xml:space="preserve">ab 1. Mai 1993 von mindestens    900 Deutsche Mark,</w:t>
      </w:r>
    </w:p>
    <w:p>
      <w:r>
        <w:rPr>
          <w:rFonts w:ascii="Courier New" w:hAnsi="Courier New"/>
          <w:sz w:val="17"/>
        </w:rPr>
        <w:t xml:space="preserve">ab 1. März 1997 von mindestens    950 Deutsche Mark,</w:t>
      </w:r>
    </w:p>
    <w:p>
      <w:r>
        <w:rPr>
          <w:rFonts w:ascii="Courier New" w:hAnsi="Courier New"/>
          <w:sz w:val="17"/>
        </w:rPr>
        <w:t xml:space="preserve">ab 1. Januar 2002 von mindestens    500 Euro,</w:t>
      </w:r>
    </w:p>
    <w:p>
      <w:r>
        <w:rPr>
          <w:rFonts w:ascii="Courier New" w:hAnsi="Courier New"/>
          <w:sz w:val="17"/>
        </w:rPr>
        <w:t xml:space="preserve">ab 1. Juni 2008 von mindestens    540 Euro,</w:t>
      </w:r>
    </w:p>
    <w:p>
      <w:r>
        <w:rPr>
          <w:rFonts w:ascii="Courier New" w:hAnsi="Courier New"/>
          <w:sz w:val="17"/>
        </w:rPr>
        <w:t xml:space="preserve">ab 1. Juli 2010 von mindestens    550 Euro,</w:t>
      </w:r>
    </w:p>
    <w:p>
      <w:r>
        <w:rPr>
          <w:rFonts w:ascii="Courier New" w:hAnsi="Courier New"/>
          <w:sz w:val="17"/>
        </w:rPr>
        <w:t xml:space="preserve">ab 1. Oktober 2012 von mindestens    580 Euro,</w:t>
      </w:r>
    </w:p>
    <w:p>
      <w:r>
        <w:rPr>
          <w:rFonts w:ascii="Courier New" w:hAnsi="Courier New"/>
          <w:sz w:val="17"/>
        </w:rPr>
        <w:t xml:space="preserve">ab 1. August 2014 von mindestens    610 Euro,</w:t>
      </w:r>
    </w:p>
    <w:p>
      <w:r>
        <w:rPr>
          <w:rFonts w:ascii="Courier New" w:hAnsi="Courier New"/>
          <w:sz w:val="17"/>
        </w:rPr>
        <w:t xml:space="preserve">ab 1. September 2016 von mindestens    640 Euro,</w:t>
      </w:r>
    </w:p>
    <w:p>
      <w:r>
        <w:rPr>
          <w:rFonts w:ascii="Courier New" w:hAnsi="Courier New"/>
          <w:sz w:val="17"/>
        </w:rPr>
        <w:t xml:space="preserve">ab 1. Januar 2019 von mindestens    690 Euro,</w:t>
      </w:r>
    </w:p>
    <w:p>
      <w:r>
        <w:rPr>
          <w:rFonts w:ascii="Courier New" w:hAnsi="Courier New"/>
          <w:sz w:val="17"/>
        </w:rPr>
        <w:t xml:space="preserve">ab 1. September 2021 von mindestens    720 Euro und</w:t>
      </w:r>
    </w:p>
    <w:p>
      <w:r>
        <w:rPr>
          <w:rFonts w:ascii="Courier New" w:hAnsi="Courier New"/>
          <w:sz w:val="17"/>
        </w:rPr>
        <w:t xml:space="preserve">ab 1. Dezember 2023 von mindestens    800 Euro</w:t>
      </w:r>
    </w:p>
    <w:p>
      <w:r>
        <w:t xml:space="preserve">monatlich hat; der Zuschlag entfällt ferner, wenn er bereits bei der Bemessung des Hundertsatzes der Rente einer anderen unterhaltspflichtigen Person berücksichtigt worden ist.</w:t>
      </w:r>
    </w:p>
    <w:p>
      <w:r>
        <w:t xml:space="preserve">(2) Bei der Bemessung des Hundertsatzes nach § 15 sind im Regelfall folgende Abschläge von dem jeweiligen Mittelwert der in § 31 Abs. 6 BEG festgelegten Hundertsätze vorzunehmen:</w:t>
      </w:r>
    </w:p>
    <w:p>
      <w:r>
        <w:rPr>
          <w:rFonts w:ascii="Courier New" w:hAnsi="Courier New"/>
          <w:sz w:val="17"/>
        </w:rPr>
        <w:t xml:space="preserve">1.    für je 150 Deutsche Mark, ab dem 1. Januar 2002 je 77 Euro monatliches anderweitiges Einkommen im Sinne von § 15 Abs. 3, das den Freibetrag nach § 15 Abs. 5 übersteigt,    2,5 vom Hundert,</w:t>
      </w:r>
    </w:p>
    <w:p>
      <w:r>
        <w:rPr>
          <w:rFonts w:ascii="Courier New" w:hAnsi="Courier New"/>
          <w:sz w:val="17"/>
        </w:rPr>
        <w:t xml:space="preserve">2.    für besonders günstige wirtschaftliche Verhältnisse, soweit sie nicht bereits nach Nummer 1 berücksichtigt worden sind,    5 vom Hundert.</w:t>
      </w:r>
    </w:p>
    <w:p>
      <w:r>
        <w:t xml:space="preserve">(3) Bei einer Ehefrau, die gemäß § 14 Abs. 6 in eine vergleichbare Beamtengruppe eingereiht worden ist, werden bei der Bemessung des Hundertsatzes 40 vom Hundert des Einkommens des Ehemannes als eigenes Einkommen berücksichtigt.</w:t>
      </w:r>
    </w:p>
    <w:p>
      <w:r>
        <w:t xml:space="preserve">(4) Bei einer Ehefrau, die nach ihrer eigenen wirtschaftlichen oder sozialen Stellung in eine vergleichbare Beamtengruppe eingereiht worden ist, finden die Absätze 1 und 2 Anwendung.</w:t>
      </w:r>
    </w:p>
    <w:p>
      <w:r>
        <w:t xml:space="preserve">(5) Zuschläge nach Absatz 1 Nr. 1 und Abschläge nach Absatz 2 Nr. 2 entfallen, wenn der Ehegatte selbst Anspruch auf Rente für Schaden an Körper oder Gesundheit hat und die Zu- und Abschläge bereits bei der Berechnung seiner Rente vorgenommen worden sind.</w:t>
      </w:r>
    </w:p>
    <w:p>
      <w:r>
        <w:rPr>
          <w:color w:val="555555"/>
          <w:sz w:val="17"/>
        </w:rPr>
        <w:t xml:space="preserve">Zitiervorschlag: § 15a BEGDV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https://recht.nulegal.eu/gesetze/BEGDV%202/15a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15a BEGDV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