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11a BEGDV 2 — Anwendung der Vermutung bei Konzentrationslagerhaft von mindestens einem Jahr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Anwendung der Vermutung des § 31 Abs. 2 BEG setzt voraus, daß der Verfolgte im Zeitpunkt der Entscheidung in seiner Erwerbsfähigkeit um 25 vom Hundert oder mehr gemindert ist.</w:t>
      </w:r>
    </w:p>
    <w:p>
      <w:r>
        <w:t xml:space="preserve">(2) Für die Berechnung der Dauer der Konzentrationslagerhaft findet § 45 Satz 3 BEG entsprechende Anwendung.</w:t>
      </w:r>
    </w:p>
    <w:p>
      <w:r>
        <w:rPr>
          <w:color w:val="555555"/>
          <w:sz w:val="17"/>
        </w:rPr>
        <w:t xml:space="preserve">Zitiervorschlag: § 11a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https://recht.nulegal.eu/gesetze/BEGDV%202/11a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