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BEGDV 1 — Gewährung der Rente bei Kindern über 18 Jahre</w:t>
      </w:r>
    </w:p>
    <w:p>
      <w:r>
        <w:rPr>
          <w:color w:val="555555"/>
          <w:sz w:val="18"/>
        </w:rPr>
        <w:t xml:space="preserve">Erste Verordnung zur Durchführung des Bundesentschädigungsgesetzes</w:t>
      </w:r>
    </w:p>
    <w:p>
      <w:r>
        <w:rPr>
          <w:color w:val="555555"/>
          <w:sz w:val="18"/>
        </w:rPr>
        <w:t xml:space="preserve">Stand: 20.04.2024 (konsolidierte Textfassung, kein amtliches Inkrafttretensdatum)</w:t>
      </w:r>
    </w:p>
    <w:p>
      <w:r>
        <w:t xml:space="preserve">(1) Kinder erhalten nach Vollendung des 18. Lebensjahres eine Rente, wenn sie</w:t>
      </w:r>
    </w:p>
    <w:p>
      <w:pPr>
        <w:ind w:left="420"/>
      </w:pPr>
      <w:r>
        <w:t xml:space="preserve">1. in einer Schul- oder Berufsausbildung stehen, die ihre Arbeitskraft überwiegend in Anspruch nimmt, sofern sie im Zusammenhang mit ihrer Ausbildung Dienstbezüge, Arbeitsentgelt oder sonstige Zuwendungen in entsprechender Höhe nicht erhalten, bis zur Vollendung des 27. Lebensjahres,</w:t>
      </w:r>
    </w:p>
    <w:p>
      <w:pPr>
        <w:ind w:left="420"/>
      </w:pPr>
      <w:r>
        <w:t xml:space="preserve">2. wegen körperlicher oder geistiger Gebrechen dauernd erwerbsunfähig sind, sofern die dauernde Erwerbsunfähigkeit vor Vollendung des 27. Lebensjahres eingetreten ist, ohne Rücksicht auf das Lebensalter, wenn sie nicht ein eigenes Einkommen</w:t>
      </w:r>
    </w:p>
    <w:p>
      <w:r>
        <w:rPr>
          <w:rFonts w:ascii="Courier New" w:hAnsi="Courier New"/>
          <w:sz w:val="17"/>
        </w:rPr>
        <w:t xml:space="preserve">    von mehr als 125 Deutsche Mark monatlich,</w:t>
      </w:r>
    </w:p>
    <w:p>
      <w:r>
        <w:rPr>
          <w:rFonts w:ascii="Courier New" w:hAnsi="Courier New"/>
          <w:sz w:val="17"/>
        </w:rPr>
        <w:t xml:space="preserve">ab 1. Juli 1967    von mehr als 150 Deutsche Mark monatlich,</w:t>
      </w:r>
    </w:p>
    <w:p>
      <w:r>
        <w:rPr>
          <w:rFonts w:ascii="Courier New" w:hAnsi="Courier New"/>
          <w:sz w:val="17"/>
        </w:rPr>
        <w:t xml:space="preserve">ab 1. Januar 1971    von mehr als 200 Deutsche Mark monatlich,</w:t>
      </w:r>
    </w:p>
    <w:p>
      <w:r>
        <w:rPr>
          <w:rFonts w:ascii="Courier New" w:hAnsi="Courier New"/>
          <w:sz w:val="17"/>
        </w:rPr>
        <w:t xml:space="preserve">ab 1. Februar 1977    von mehr als 360 Deutsche Mark monatlich,</w:t>
      </w:r>
    </w:p>
    <w:p>
      <w:r>
        <w:rPr>
          <w:rFonts w:ascii="Courier New" w:hAnsi="Courier New"/>
          <w:sz w:val="17"/>
        </w:rPr>
        <w:t xml:space="preserve">ab 1. März 1978    von mehr als 430 Deutsche Mark monatlich,</w:t>
      </w:r>
    </w:p>
    <w:p>
      <w:r>
        <w:rPr>
          <w:rFonts w:ascii="Courier New" w:hAnsi="Courier New"/>
          <w:sz w:val="17"/>
        </w:rPr>
        <w:t xml:space="preserve">ab 1. März 1979    von mehr als 550 Deutsche Mark monatlich,</w:t>
      </w:r>
    </w:p>
    <w:p>
      <w:r>
        <w:rPr>
          <w:rFonts w:ascii="Courier New" w:hAnsi="Courier New"/>
          <w:sz w:val="17"/>
        </w:rPr>
        <w:t xml:space="preserve">ab 1. März 1981    von mehr als 650 Deutsche Mark monatlich,</w:t>
      </w:r>
    </w:p>
    <w:p>
      <w:r>
        <w:rPr>
          <w:rFonts w:ascii="Courier New" w:hAnsi="Courier New"/>
          <w:sz w:val="17"/>
        </w:rPr>
        <w:t xml:space="preserve">ab 1. Januar 1987    von mehr als 750 Deutsche Mark monatlich,</w:t>
      </w:r>
    </w:p>
    <w:p>
      <w:r>
        <w:rPr>
          <w:rFonts w:ascii="Courier New" w:hAnsi="Courier New"/>
          <w:sz w:val="17"/>
        </w:rPr>
        <w:t xml:space="preserve">ab 1. Januar 1990    von mehr als 850 Deutsche Mark monatlich,</w:t>
      </w:r>
    </w:p>
    <w:p>
      <w:r>
        <w:rPr>
          <w:rFonts w:ascii="Courier New" w:hAnsi="Courier New"/>
          <w:sz w:val="17"/>
        </w:rPr>
        <w:t xml:space="preserve">ab 1. Januar 2002    von mehr als 480 Euro monatlich,</w:t>
      </w:r>
    </w:p>
    <w:p>
      <w:r>
        <w:rPr>
          <w:rFonts w:ascii="Courier New" w:hAnsi="Courier New"/>
          <w:sz w:val="17"/>
        </w:rPr>
        <w:t xml:space="preserve">ab 1. Juni 2008    ein höherer Betrag als 520 Euro monatlich,</w:t>
      </w:r>
    </w:p>
    <w:p>
      <w:r>
        <w:rPr>
          <w:rFonts w:ascii="Courier New" w:hAnsi="Courier New"/>
          <w:sz w:val="17"/>
        </w:rPr>
        <w:t xml:space="preserve">ab 1. Juli 2010    ein höherer Betrag als 530 Euro monatlich,</w:t>
      </w:r>
    </w:p>
    <w:p>
      <w:r>
        <w:rPr>
          <w:rFonts w:ascii="Courier New" w:hAnsi="Courier New"/>
          <w:sz w:val="17"/>
        </w:rPr>
        <w:t xml:space="preserve">ab 1. Oktober 2012    ein höherer Betrag als 560 Euro monatlich,</w:t>
      </w:r>
    </w:p>
    <w:p>
      <w:r>
        <w:rPr>
          <w:rFonts w:ascii="Courier New" w:hAnsi="Courier New"/>
          <w:sz w:val="17"/>
        </w:rPr>
        <w:t xml:space="preserve">ab 1. August 2014    ein höherer Betrag als 590 Euro monatlich,</w:t>
      </w:r>
    </w:p>
    <w:p>
      <w:r>
        <w:rPr>
          <w:rFonts w:ascii="Courier New" w:hAnsi="Courier New"/>
          <w:sz w:val="17"/>
        </w:rPr>
        <w:t xml:space="preserve">ab 1. September 2016    ein höherer Betrag als 620 Euro monatlich,</w:t>
      </w:r>
    </w:p>
    <w:p>
      <w:r>
        <w:rPr>
          <w:rFonts w:ascii="Courier New" w:hAnsi="Courier New"/>
          <w:sz w:val="17"/>
        </w:rPr>
        <w:t xml:space="preserve">ab 1. Januar 2019    von mehr als 670 Euro monatlich,</w:t>
      </w:r>
    </w:p>
    <w:p>
      <w:r>
        <w:rPr>
          <w:rFonts w:ascii="Courier New" w:hAnsi="Courier New"/>
          <w:sz w:val="17"/>
        </w:rPr>
        <w:t xml:space="preserve">ab 1. September 2021    von mehr als 700 Euro monatlich und</w:t>
      </w:r>
    </w:p>
    <w:p>
      <w:r>
        <w:rPr>
          <w:rFonts w:ascii="Courier New" w:hAnsi="Courier New"/>
          <w:sz w:val="17"/>
        </w:rPr>
        <w:t xml:space="preserve">ab 1. Dezember 2023    von mehr als 780 Euro monatlich</w:t>
      </w:r>
    </w:p>
    <w:p>
      <w:pPr>
        <w:ind w:left="420"/>
      </w:pPr>
      <w:r>
        <w:t xml:space="preserve">haben; Versorgungsbezüge, die dem Kinde wegen des Todes des Verfolgten gezahlt werden, rechnen nicht zum Einkommen des Kindes.</w:t>
      </w:r>
    </w:p>
    <w:p>
      <w:r>
        <w:t xml:space="preserve">(2) Hat sich in den Fällen des Absatzes 1 Nr. 1 die Schul- oder Berufsausbildung aus einem Grunde, der nicht in der Person des Verfolgten oder des Kindes liegt, über das 27. Lebensjahr hinaus verzögert, so wird die Rente entsprechend dem Zeitraum der nachgewiesenen Verzögerung auch über das 27. Lebensjahr hinaus gezahlt.</w:t>
      </w:r>
    </w:p>
    <w:p>
      <w:r>
        <w:t xml:space="preserve">(3) (weggefallen)</w:t>
      </w:r>
    </w:p>
    <w:p>
      <w:r>
        <w:rPr>
          <w:color w:val="555555"/>
          <w:sz w:val="17"/>
        </w:rPr>
        <w:t xml:space="preserve">Zitiervorschlag: § 7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