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BEGDV 1 — Kinder und ihnen Gleichgestellte</w:t>
      </w:r>
    </w:p>
    <w:p>
      <w:r>
        <w:rPr>
          <w:color w:val="555555"/>
          <w:sz w:val="18"/>
        </w:rPr>
        <w:t xml:space="preserve">Erste Verordnung zur Durchführung des Bundesentschädigungsgesetzes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(1) Den Kindern einer Verfolgten stehen die gleichen Ansprüche nach den §§ 15 bis 26 BEG wie den Kindern eines Verfolgten zu.</w:t>
      </w:r>
    </w:p>
    <w:p>
      <w:r>
        <w:t xml:space="preserve">(2) Den Kindern sind gleichgestellt</w:t>
      </w:r>
    </w:p>
    <w:p>
      <w:pPr>
        <w:ind w:left="420"/>
      </w:pPr>
      <w:r>
        <w:t xml:space="preserve">1. die Stiefkinder, die der Verfolgte in seine Wohnung aufgenommen hatte,</w:t>
      </w:r>
    </w:p>
    <w:p>
      <w:pPr>
        <w:ind w:left="420"/>
      </w:pPr>
      <w:r>
        <w:t xml:space="preserve">2. die Pflegekinder, die der Verfolgte in seine Wohnung aufgenommen hatte und für deren Unterhalt und deren Erziehung nicht von anderer Seite laufend</w:t>
      </w:r>
    </w:p>
    <w:p>
      <w:r>
        <w:rPr>
          <w:rFonts w:ascii="Courier New" w:hAnsi="Courier New"/>
          <w:sz w:val="17"/>
        </w:rPr>
        <w:t xml:space="preserve">    ein höherer Betrag als 125 Deutsche Mark monatlich,</w:t>
      </w:r>
    </w:p>
    <w:p>
      <w:r>
        <w:rPr>
          <w:rFonts w:ascii="Courier New" w:hAnsi="Courier New"/>
          <w:sz w:val="17"/>
        </w:rPr>
        <w:t xml:space="preserve">ab 1. Juli 1967    ein höherer Betrag als 150 Deutsche Mark monatlich,</w:t>
      </w:r>
    </w:p>
    <w:p>
      <w:r>
        <w:rPr>
          <w:rFonts w:ascii="Courier New" w:hAnsi="Courier New"/>
          <w:sz w:val="17"/>
        </w:rPr>
        <w:t xml:space="preserve">ab 1. Januar 1971    ein höherer Betrag als 200 Deutsche Mark monatlich,</w:t>
      </w:r>
    </w:p>
    <w:p>
      <w:r>
        <w:rPr>
          <w:rFonts w:ascii="Courier New" w:hAnsi="Courier New"/>
          <w:sz w:val="17"/>
        </w:rPr>
        <w:t xml:space="preserve">ab 1. Februar 1977    ein höherer Betrag als 360 Deutsche Mark monatlich,</w:t>
      </w:r>
    </w:p>
    <w:p>
      <w:r>
        <w:rPr>
          <w:rFonts w:ascii="Courier New" w:hAnsi="Courier New"/>
          <w:sz w:val="17"/>
        </w:rPr>
        <w:t xml:space="preserve">ab 1. März 1978    ein höherer Betrag als 430 Deutsche Mark monatlich,</w:t>
      </w:r>
    </w:p>
    <w:p>
      <w:r>
        <w:rPr>
          <w:rFonts w:ascii="Courier New" w:hAnsi="Courier New"/>
          <w:sz w:val="17"/>
        </w:rPr>
        <w:t xml:space="preserve">ab 1. März 1979    ein höherer Betrag als 550 Deutsche Mark monatlich,</w:t>
      </w:r>
    </w:p>
    <w:p>
      <w:r>
        <w:rPr>
          <w:rFonts w:ascii="Courier New" w:hAnsi="Courier New"/>
          <w:sz w:val="17"/>
        </w:rPr>
        <w:t xml:space="preserve">ab 1. März 1981    ein höherer Betrag als 650 Deutsche Mark monatlich,</w:t>
      </w:r>
    </w:p>
    <w:p>
      <w:r>
        <w:rPr>
          <w:rFonts w:ascii="Courier New" w:hAnsi="Courier New"/>
          <w:sz w:val="17"/>
        </w:rPr>
        <w:t xml:space="preserve">ab 1. Januar 1987    ein höherer Betrag als 750 Deutsche Mark monatlich,</w:t>
      </w:r>
    </w:p>
    <w:p>
      <w:r>
        <w:rPr>
          <w:rFonts w:ascii="Courier New" w:hAnsi="Courier New"/>
          <w:sz w:val="17"/>
        </w:rPr>
        <w:t xml:space="preserve">ab 1. Januar 1990    ein höherer Betrag als 850 Deutsche Mark monatlich,</w:t>
      </w:r>
    </w:p>
    <w:p>
      <w:r>
        <w:rPr>
          <w:rFonts w:ascii="Courier New" w:hAnsi="Courier New"/>
          <w:sz w:val="17"/>
        </w:rPr>
        <w:t xml:space="preserve">ab 1. Januar 2002    ein höherer Betrag als 480 Euro monatlich,</w:t>
      </w:r>
    </w:p>
    <w:p>
      <w:r>
        <w:rPr>
          <w:rFonts w:ascii="Courier New" w:hAnsi="Courier New"/>
          <w:sz w:val="17"/>
        </w:rPr>
        <w:t xml:space="preserve">ab 1. Juni 2008    ein höherer Betrag als 520 Euro monatlich,</w:t>
      </w:r>
    </w:p>
    <w:p>
      <w:r>
        <w:rPr>
          <w:rFonts w:ascii="Courier New" w:hAnsi="Courier New"/>
          <w:sz w:val="17"/>
        </w:rPr>
        <w:t xml:space="preserve">ab 1. Juli 2010    ein höherer Betrag als 530 Euro monatlich,</w:t>
      </w:r>
    </w:p>
    <w:p>
      <w:r>
        <w:rPr>
          <w:rFonts w:ascii="Courier New" w:hAnsi="Courier New"/>
          <w:sz w:val="17"/>
        </w:rPr>
        <w:t xml:space="preserve">ab 1. Oktober 2012    ein höherer Betrag als 560 Euro monatlich,</w:t>
      </w:r>
    </w:p>
    <w:p>
      <w:r>
        <w:rPr>
          <w:rFonts w:ascii="Courier New" w:hAnsi="Courier New"/>
          <w:sz w:val="17"/>
        </w:rPr>
        <w:t xml:space="preserve">ab 1. August 2014    ein höherer Betrag als 590 Euro monatlich,</w:t>
      </w:r>
    </w:p>
    <w:p>
      <w:r>
        <w:rPr>
          <w:rFonts w:ascii="Courier New" w:hAnsi="Courier New"/>
          <w:sz w:val="17"/>
        </w:rPr>
        <w:t xml:space="preserve">ab 1. September 2016    ein höherer Betrag als 620 Euro monatlich,</w:t>
      </w:r>
    </w:p>
    <w:p>
      <w:r>
        <w:rPr>
          <w:rFonts w:ascii="Courier New" w:hAnsi="Courier New"/>
          <w:sz w:val="17"/>
        </w:rPr>
        <w:t xml:space="preserve">ab 1. Januar 2019    ein höherer Betrag als 670 Euro monatlich,</w:t>
      </w:r>
    </w:p>
    <w:p>
      <w:r>
        <w:rPr>
          <w:rFonts w:ascii="Courier New" w:hAnsi="Courier New"/>
          <w:sz w:val="17"/>
        </w:rPr>
        <w:t xml:space="preserve">ab 1. September 2021    ein höherer Betrag als 700 Euro monatlich und</w:t>
      </w:r>
    </w:p>
    <w:p>
      <w:r>
        <w:rPr>
          <w:rFonts w:ascii="Courier New" w:hAnsi="Courier New"/>
          <w:sz w:val="17"/>
        </w:rPr>
        <w:t xml:space="preserve">ab 1. Dezember 2023    ein höherer Betrag als 780 Euro monatlich</w:t>
      </w:r>
    </w:p>
    <w:p>
      <w:pPr>
        <w:ind w:left="420"/>
      </w:pPr>
      <w:r>
        <w:t xml:space="preserve">gezahlt wird.</w:t>
      </w:r>
    </w:p>
    <w:p>
      <w:r>
        <w:t xml:space="preserve">(3) Als in die Wohnung aufgenommen gelten Kinder auch dann, wenn der Verfolgte sie auf seine Kosten anderweit untergebracht hat, ohne daß dadurch die häusliche Verbindung mit ihm aufgehoben werden sollte.</w:t>
      </w:r>
    </w:p>
    <w:p>
      <w:r>
        <w:rPr>
          <w:color w:val="555555"/>
          <w:sz w:val="17"/>
        </w:rPr>
        <w:t xml:space="preserve">Zitiervorschlag: § 5 BEGDV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