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18 BEGDV 1 — Erlöschen der Rente</w:t>
      </w:r>
    </w:p>
    <w:p>
      <w:r>
        <w:rPr>
          <w:color w:val="555555"/>
          <w:sz w:val="18"/>
        </w:rPr>
        <w:t xml:space="preserve">Erste Verordnung zur Durchführung des Bundesentschädigungsgesetzes</w:t>
      </w:r>
    </w:p>
    <w:p>
      <w:r>
        <w:rPr>
          <w:color w:val="555555"/>
          <w:sz w:val="18"/>
        </w:rPr>
        <w:t xml:space="preserve">Stand: 20.04.2024 (konsolidierte Textfassung, kein amtliches Inkrafttretensdatum)</w:t>
      </w:r>
    </w:p>
    <w:p>
      <w:r>
        <w:t xml:space="preserve">Die Rente erlischt</w:t>
      </w:r>
    </w:p>
    <w:p>
      <w:pPr>
        <w:ind w:left="420"/>
      </w:pPr>
      <w:r>
        <w:t xml:space="preserve">1. für jeden Hinterbliebenen mit dem Ende des Monats, in dem er stirbt,</w:t>
      </w:r>
    </w:p>
    <w:p>
      <w:pPr>
        <w:ind w:left="420"/>
      </w:pPr>
      <w:r>
        <w:t xml:space="preserve">2. für jeden Hinterbliebenen mit Ausnahme der Kinder, der Verwandten aufsteigender Linie und der Adoptiveltern auch mit dem Ende des Monats, in dem er heiratet oder wiederheiratet,</w:t>
      </w:r>
    </w:p>
    <w:p>
      <w:pPr>
        <w:ind w:left="420"/>
      </w:pPr>
      <w:r>
        <w:t xml:space="preserve">3. für Kinder und elternlose Enkel auch mit dem Ende des Monats, der dem Monat folgt, in dem sie das 18. Lebensjahr vollenden, es sei denn, daß die Voraussetzungen des § 7 Abs. 1 und 2 vorliegen,</w:t>
      </w:r>
    </w:p>
    <w:p>
      <w:pPr>
        <w:ind w:left="420"/>
      </w:pPr>
      <w:r>
        <w:t xml:space="preserve">4. für Pflegekinder auch mit dem Ende des Monats, der dem Monat folgt, in dem für ihren Unterhalt und ihre Erziehung von anderer Seite laufend</w:t>
      </w:r>
    </w:p>
    <w:p>
      <w:r>
        <w:rPr>
          <w:rFonts w:ascii="Courier New" w:hAnsi="Courier New"/>
          <w:sz w:val="17"/>
        </w:rPr>
        <w:t xml:space="preserve">    ein höherer Betrag als 125 Deutsche Mark monatlich,</w:t>
      </w:r>
    </w:p>
    <w:p>
      <w:r>
        <w:rPr>
          <w:rFonts w:ascii="Courier New" w:hAnsi="Courier New"/>
          <w:sz w:val="17"/>
        </w:rPr>
        <w:t xml:space="preserve">ab 1. Juli 1967    ein höherer Betrag als 150 Deutsche Mark monatlich,</w:t>
      </w:r>
    </w:p>
    <w:p>
      <w:r>
        <w:rPr>
          <w:rFonts w:ascii="Courier New" w:hAnsi="Courier New"/>
          <w:sz w:val="17"/>
        </w:rPr>
        <w:t xml:space="preserve">ab 1. Januar 1971    ein höherer Betrag als 200 Deutsche Mark monatlich,</w:t>
      </w:r>
    </w:p>
    <w:p>
      <w:r>
        <w:rPr>
          <w:rFonts w:ascii="Courier New" w:hAnsi="Courier New"/>
          <w:sz w:val="17"/>
        </w:rPr>
        <w:t xml:space="preserve">ab 1. Februar 1977    ein höherer Betrag als 360 Deutsche Mark monatlich,</w:t>
      </w:r>
    </w:p>
    <w:p>
      <w:r>
        <w:rPr>
          <w:rFonts w:ascii="Courier New" w:hAnsi="Courier New"/>
          <w:sz w:val="17"/>
        </w:rPr>
        <w:t xml:space="preserve">ab 1. März 1978    ein höherer Betrag als 430 Deutsche Mark monatlich,</w:t>
      </w:r>
    </w:p>
    <w:p>
      <w:r>
        <w:rPr>
          <w:rFonts w:ascii="Courier New" w:hAnsi="Courier New"/>
          <w:sz w:val="17"/>
        </w:rPr>
        <w:t xml:space="preserve">ab 1. März 1979    ein höherer Betrag als 550 Deutsche Mark monatlich,</w:t>
      </w:r>
    </w:p>
    <w:p>
      <w:r>
        <w:rPr>
          <w:rFonts w:ascii="Courier New" w:hAnsi="Courier New"/>
          <w:sz w:val="17"/>
        </w:rPr>
        <w:t xml:space="preserve">ab 1. März 1981    ein höherer Betrag als 650 Deutsche Mark monatlich,</w:t>
      </w:r>
    </w:p>
    <w:p>
      <w:r>
        <w:rPr>
          <w:rFonts w:ascii="Courier New" w:hAnsi="Courier New"/>
          <w:sz w:val="17"/>
        </w:rPr>
        <w:t xml:space="preserve">ab 1. Januar 1987    ein höherer Betrag als 750 Deutsche Mark monatlich,</w:t>
      </w:r>
    </w:p>
    <w:p>
      <w:r>
        <w:rPr>
          <w:rFonts w:ascii="Courier New" w:hAnsi="Courier New"/>
          <w:sz w:val="17"/>
        </w:rPr>
        <w:t xml:space="preserve">ab 1. Januar 1990    ein höherer Betrag als 850 Deutsche Mark monatlich,</w:t>
      </w:r>
    </w:p>
    <w:p>
      <w:r>
        <w:rPr>
          <w:rFonts w:ascii="Courier New" w:hAnsi="Courier New"/>
          <w:sz w:val="17"/>
        </w:rPr>
        <w:t xml:space="preserve">ab 1. Januar 2002    ein höherer Betrag als 480 Euro monatlich,</w:t>
      </w:r>
    </w:p>
    <w:p>
      <w:r>
        <w:rPr>
          <w:rFonts w:ascii="Courier New" w:hAnsi="Courier New"/>
          <w:sz w:val="17"/>
        </w:rPr>
        <w:t xml:space="preserve">ab 1. Juni 2008    ein höherer Betrag als 520 Euro monatlich,</w:t>
      </w:r>
    </w:p>
    <w:p>
      <w:r>
        <w:rPr>
          <w:rFonts w:ascii="Courier New" w:hAnsi="Courier New"/>
          <w:sz w:val="17"/>
        </w:rPr>
        <w:t xml:space="preserve">ab 1. Juli 2010    ein höherer Betrag als 530 Euro monatlich,</w:t>
      </w:r>
    </w:p>
    <w:p>
      <w:r>
        <w:rPr>
          <w:rFonts w:ascii="Courier New" w:hAnsi="Courier New"/>
          <w:sz w:val="17"/>
        </w:rPr>
        <w:t xml:space="preserve">ab 1. Oktober 2012    ein höherer Betrag als 560 Euro monatlich,</w:t>
      </w:r>
    </w:p>
    <w:p>
      <w:r>
        <w:rPr>
          <w:rFonts w:ascii="Courier New" w:hAnsi="Courier New"/>
          <w:sz w:val="17"/>
        </w:rPr>
        <w:t xml:space="preserve">ab 1. August 2014    ein höherer Betrag als 590 Euro monatlich,</w:t>
      </w:r>
    </w:p>
    <w:p>
      <w:r>
        <w:rPr>
          <w:rFonts w:ascii="Courier New" w:hAnsi="Courier New"/>
          <w:sz w:val="17"/>
        </w:rPr>
        <w:t xml:space="preserve">ab 1. September 2016    ein höherer Betrag als 620 Euro monatlich,</w:t>
      </w:r>
    </w:p>
    <w:p>
      <w:r>
        <w:rPr>
          <w:rFonts w:ascii="Courier New" w:hAnsi="Courier New"/>
          <w:sz w:val="17"/>
        </w:rPr>
        <w:t xml:space="preserve">ab 1. Januar 2019    ein höherer Betrag als 670 Euro monatlich,</w:t>
      </w:r>
    </w:p>
    <w:p>
      <w:r>
        <w:rPr>
          <w:rFonts w:ascii="Courier New" w:hAnsi="Courier New"/>
          <w:sz w:val="17"/>
        </w:rPr>
        <w:t xml:space="preserve">ab 1. September 2021    ein höherer Betrag als 700 Euro monatlich und</w:t>
      </w:r>
    </w:p>
    <w:p>
      <w:r>
        <w:rPr>
          <w:rFonts w:ascii="Courier New" w:hAnsi="Courier New"/>
          <w:sz w:val="17"/>
        </w:rPr>
        <w:t xml:space="preserve">ab 1. Dezember 2023    ein höherer Betrag als 780 Euro monatlich</w:t>
      </w:r>
    </w:p>
    <w:p>
      <w:pPr>
        <w:ind w:left="420"/>
      </w:pPr>
      <w:r>
        <w:t xml:space="preserve">gezahlt wird.</w:t>
      </w:r>
    </w:p>
    <w:p>
      <w:pPr>
        <w:ind w:left="420"/>
      </w:pPr>
      <w:r>
        <w:t xml:space="preserve">5. für Verwandte der aufsteigenden Linie und für Adoptiveltern auch mit dem Ende des Monats, in dem die Bedürftigkeit weggefallen ist.</w:t>
      </w:r>
    </w:p>
    <w:p>
      <w:r>
        <w:rPr>
          <w:color w:val="555555"/>
          <w:sz w:val="17"/>
        </w:rPr>
        <w:t xml:space="preserve">Zitiervorschlag: § 18 BEGDV 1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https://recht.nulegal.eu/gesetze/BEGDV%201/18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