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BEGDV 1 — Zahlung der Rente</w:t>
      </w:r>
    </w:p>
    <w:p>
      <w:r>
        <w:rPr>
          <w:color w:val="555555"/>
          <w:sz w:val="18"/>
        </w:rPr>
        <w:t xml:space="preserve">Erste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Rente wird in monatlich vorauszahlbaren Beträgen vom Ersten des Monats an gezahlt, in dem die Voraussetzungen für den Rentenanspruch erfüllt sind, frühestens jedoch vom 1. November 1953 an.</w:t>
      </w:r>
    </w:p>
    <w:p>
      <w:r>
        <w:t xml:space="preserve">(2) Die errechneten und die auszuzahlenden Beträge der Rente sind jeweils auf volle Deutsche Mark, ab 1. Januar 2002 auf volle Euro aufzurunden.</w:t>
      </w:r>
    </w:p>
    <w:p>
      <w:r>
        <w:rPr>
          <w:color w:val="555555"/>
          <w:sz w:val="17"/>
        </w:rPr>
        <w:t xml:space="preserve">Zitiervorschlag: § 16 BEGDV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https://recht.nulegal.eu/gesetze/BEGDV%201/16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