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BEGDV 1 — Hundertsatz des Unfallruhegehalts und der Versorgungsbezüge</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(1) Das Unfallruhegehalt im Sinne dieser Verordnung beträgt 66 2/3 vom Hundert der ruhegehaltfähigen Dienstbezüge (§ 10).</w:t>
      </w:r>
    </w:p>
    <w:p>
      <w:r>
        <w:t xml:space="preserve">(2) Der Rente der Witwe und des Witwers sind 60 vom Hundert, der Rente für jedes Kind und für jeden elternlosen Enkel 30 vom Hundert und der Rente für einen Verwandten der aufsteigenden Linie oder einen Adoptivelternteil oder mehrere zusammen 30 vom Hundert des Unfallruhegehalts zugrunde zu legen.</w:t>
      </w:r>
    </w:p>
    <w:p>
      <w:r>
        <w:rPr>
          <w:color w:val="555555"/>
          <w:sz w:val="17"/>
        </w:rPr>
        <w:t xml:space="preserve">Zitiervorschlag: § 12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