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BEGDV 1 — Nachweis des Todes</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(1) Der Tod oder die Todesfeststellung nach dem Verschollenheitsgesetz oder nach anderen Rechtsvorschriften wird regelmäßig durch öffentliche Urkunden nachgewiesen.</w:t>
      </w:r>
    </w:p>
    <w:p>
      <w:r>
        <w:t xml:space="preserve">(2) Kann der Tod oder die Todesfeststellung nicht durch öffentliche Urkunden nachgewiesen werden, so gelten für den Nachweis des Todes oder der Todesfeststellung die Grundsätze des § 176 BEG.</w:t>
      </w:r>
    </w:p>
    <w:p>
      <w:r>
        <w:t xml:space="preserve">(3) Ist der Verfolgte verschollen und ist der Tod nach dem Verschollenheitsgesetz oder nach anderen Rechtsvorschriften nicht festgestellt, so wird vermutet, daß der Verfolgte am 8. Mai 1945 verstorben ist (§ 180 Abs. 1 BEG), es sei denn, daß nach den Umständen des Einzelfalles ein anderer Zeitpunkt des Todes wahrscheinlich ist (§ 180 Abs. 2 BEG). § 176 BEG findet Anwendung.</w:t>
      </w:r>
    </w:p>
    <w:p>
      <w:r>
        <w:rPr>
          <w:color w:val="555555"/>
          <w:sz w:val="17"/>
        </w:rPr>
        <w:t xml:space="preserve">Zitiervorschlag: § 1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