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97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der Verfolgte nach Festsetzung oder rechtskräftiger gerichtlicher Zuerkennung der Rente und nach Ausübung des Wahlrechtes verstorben, so findet § 85 entsprechende Anwendung. Der Berechnung der Rente ist die Rente zugrunde zu legen, die dem Verfolgten nach §§ 93, 95 zugestanden hat oder zugestanden hätte.</w:t>
      </w:r>
    </w:p>
    <w:p>
      <w:r>
        <w:t xml:space="preserve">(2) Der monatliche Mindestbetrag der Rente beträgt für die Witwe oder den Witwer 60 Deutsche Mark, für jedes Kind 30 Deutsche Mark; § 95 Abs. 3 findet entsprechende Anwendung. Ergibt sich bei einer Zusammenrechnung der Mindestbeträge der Renten nach Satz 1 ein höherer Betrag als der Mindestbetrag der Rente des Verfolgten, so werden die einzelnen Mindestbeträge der Renten in dem Verhältnis gekürzt, in dem sie ihrer Höhe nach zueinander stehen.</w:t>
      </w:r>
    </w:p>
    <w:p>
      <w:r>
        <w:rPr>
          <w:color w:val="555555"/>
          <w:sz w:val="17"/>
        </w:rPr>
        <w:t xml:space="preserve">Zitiervorschlag: § 97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https://recht.nulegal.eu/gesetze/BEG/97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