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87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Der Verfolgte hat Anspruch auf Entschädigung, wenn er im privaten Dienst durch Entlassung, vorzeitiges Ausscheiden oder durch Versetzung in eine erheblich geringer entlohnte Beschäftigung geschädigt worden ist.</w:t>
      </w:r>
    </w:p>
    <w:p>
      <w:r>
        <w:t xml:space="preserve">(2) Versetzung in eine erheblich geringer entlohnte Beschäftigung liegt in der Regel vor, wenn die Versetzung in der Gesamtzeit der Schädigung zu einer Einkommensminderung von mehr als 25 vom Hundert geführt hat.</w:t>
      </w:r>
    </w:p>
    <w:p>
      <w:r>
        <w:rPr>
          <w:color w:val="555555"/>
          <w:sz w:val="17"/>
        </w:rPr>
        <w:t xml:space="preserve">Zitiervorschlag: § 87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