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Ansprüche gegen das Deutsche Reich, die Bundesrepublik Deutschland und die deutschen Länder können unbeschadet der in § 5 genannten und der durch § 228 Abs. 2 aufrechterhaltenen Vorschriften nur nach diesem Gesetz geltend gemacht werden, wenn sie darauf beruhen, daß durch Maßnahmen, die aus den Verfolgungsgründen des § 1 getroffen worden sind, Schaden entstanden ist.</w:t>
      </w:r>
    </w:p>
    <w:p>
      <w:r>
        <w:t xml:space="preserve">(2) Ansprüche gegen andere Körperschaften, Anstalten oder Stiftungen des öffentlichen Rechts oder gegen Personen des privaten Rechts werden durch dieses Gesetz nicht berührt. Sie gehen, soweit nach diesem Gesetz Entschädigung geleistet ist, auf das leistende Land über. Der Übergang kann nicht zum Nachteil des Berechtigten geltend gemacht werden.</w:t>
      </w:r>
    </w:p>
    <w:p>
      <w:r>
        <w:rPr>
          <w:color w:val="555555"/>
          <w:sz w:val="17"/>
        </w:rPr>
        <w:t xml:space="preserve">Zitiervorschlag: § 8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