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Kapitalentschädigung wird nicht über den Zeitpunkt hinaus geleistet, in dem der Verfolgte seine frühere oder eine gleichwertige Erwerbstätigkeit in vollem Umfange wieder aufgenommen hat. Das gleiche gilt, wenn der Verfolgte eine Erwerbstätigkeit aufgenommen hat, die ihm eine ausreichende Lebensgrundlage bietet; es wird vermutet, daß dies erst am 1. Januar 1947 der Fall war, wenn der Verfolgte zu diesem Zeitpunkt seinen Wohnsitz oder dauernden Aufenthalt im Geltungsbereich dieses Gesetzes gehabt hat.</w:t>
      </w:r>
    </w:p>
    <w:p>
      <w:r>
        <w:t xml:space="preserve">(2) Eine Lebensgrundlage ist ausreichend, wenn der aus seiner selbständigen Erwerbstätigkeit verdrängte oder in der Ausübung einer solchen Tätigkeit wesentlich beschränkte Verfolgte nachhaltig Einkünfte erzielt hat oder erzielt, die dem Durchschnittseinkommen von Personen mit gleicher oder ähnlicher Berufsausbildung entsprechen; dabei ist der Verfolgte in die vergleichbare Beamtengruppe einzureihen, die nach § 76 Abs. 1 für die Berechnung der Kapitalentschädigung maßgebend ist.</w:t>
      </w:r>
    </w:p>
    <w:p>
      <w:r>
        <w:t xml:space="preserve">(3) Hat der Verfolgte keinen Anspruch oder keine Anwartschaft auf lebenslängliche Versorgung nach beamtenrechtlichen Vorschriften oder Grundsätzen oder auf Ruhelohn sowie auf Hinterbliebenenversorgung, so ist zu dem Durchschnittseinkommen nach Absatz 2 ein Betrag von 20 vom Hundert hinzuzurechnen. Von dem Zeitpunkt an, in dem der Verfolgte das 65. Lebensjahr vollendet hat, erhöht sich der Betrag auf 30 vom Hundert; bei Frauen tritt an Stelle des 65. Lebensjahres das 60. Lebensjahr.</w:t>
      </w:r>
    </w:p>
    <w:p>
      <w:r>
        <w:t xml:space="preserve">(4) Hat der Verfolgte nach den in § 5 genannten Rechtsvorschriften oder nach § 56 bereits einen Ausgleich für den durch die Verdrängung oder Beschränkung eingetretenen Einkommensverlust erhalten oder ist ihm ein solcher Anspruch durch unanfechtbaren Bescheid, rechtskräftige gerichtliche Entscheidung oder Vergleich zuerkannt worden, so entfällt insoweit der Anspruch auf Kapitalentschädigung.</w:t>
      </w:r>
    </w:p>
    <w:p>
      <w:r>
        <w:rPr>
          <w:color w:val="555555"/>
          <w:sz w:val="17"/>
        </w:rPr>
        <w:t xml:space="preserve">Zitiervorschlag: § 75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