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Darlehnsvertrag ist nach Maßgabe der folgenden Bedingungen abzuschließen:</w:t>
      </w:r>
    </w:p>
    <w:p>
      <w:pPr>
        <w:ind w:left="420"/>
      </w:pPr>
      <w:r>
        <w:t xml:space="preserve">1. Das Darlehen ist in der Regel mit drei vom Hundert jährlich zu verzinsen;</w:t>
      </w:r>
    </w:p>
    <w:p>
      <w:pPr>
        <w:ind w:left="420"/>
      </w:pPr>
      <w:r>
        <w:t xml:space="preserve">2. das Darlehen ist nach zwei tilgungsfreien Jahren, spätestens im Verlaufe weiterer zehn Jahre zu tilgen;</w:t>
      </w:r>
    </w:p>
    <w:p>
      <w:pPr>
        <w:ind w:left="420"/>
      </w:pPr>
      <w:r>
        <w:t xml:space="preserve">3. das Darlehen ist nach Möglichkeit zu sichern, insbesondere durch Sicherungsübereignung von Gegenständen, die aus dem Darlehen beschafft werden;</w:t>
      </w:r>
    </w:p>
    <w:p>
      <w:pPr>
        <w:ind w:left="420"/>
      </w:pPr>
      <w:r>
        <w:t xml:space="preserve">4. der Darlehnsnehmer ist verpflichtet, jährlich über die Verwendung des Darlehens Auskunft zu erteilen; auf Verlangen hat er Einsicht in seine Geschäftsgebarung, insbesondere in seine Geschäftsbücher, zu gestatten; eine Verschlechterung seiner beruflichen und wirtschaftlichen Verhältnisse, welche die Rückzahlung des Darlehens gefährden könnte, hat er unverzüglich anzuzeigen;</w:t>
      </w:r>
    </w:p>
    <w:p>
      <w:pPr>
        <w:ind w:left="420"/>
      </w:pPr>
      <w:r>
        <w:t xml:space="preserve">5. der Darlehnsvertrag kann aus einem in der Person oder in den Verhältnissen des Darlehnsnehmers liegenden wichtigen Grund fristlos gekündigt werden.</w:t>
      </w:r>
    </w:p>
    <w:p>
      <w:r>
        <w:rPr>
          <w:color w:val="555555"/>
          <w:sz w:val="17"/>
        </w:rPr>
        <w:t xml:space="preserve">Zitiervorschlag: § 71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