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Anspruch auf Entschädigung kann ganz oder teilweise versagt werden, wenn der Berechtigte, um Entschädigung zu erlangen, sich unlauterer Mittel bedient oder vorsätzlich oder grobfahrlässig unrichtige oder irreführende Angaben über Grund oder Höhe des Schadens gemacht, veranlaßt oder zugelassen hat.</w:t>
      </w:r>
    </w:p>
    <w:p>
      <w:r>
        <w:t xml:space="preserve">(2) Der Anspruch auf Entschädigung kann ganz oder teilweise entzogen werden, wenn sich nach Festsetzung herausstellt, daß einer der Versagungsgründe des Absatzes 1 vorliegt oder die Entscheidung auf unrichtigen Angaben des Berechtigten über die tatsächlichen Verhältnisse beruht.</w:t>
      </w:r>
    </w:p>
    <w:p>
      <w:r>
        <w:t xml:space="preserve">(3) Bereits bewirkte Leistungen können zurückgefordert werden.</w:t>
      </w:r>
    </w:p>
    <w:p>
      <w:r>
        <w:rPr>
          <w:color w:val="555555"/>
          <w:sz w:val="17"/>
        </w:rPr>
        <w:t xml:space="preserve">Zitiervorschlag: § 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