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Verfolgte hat Anspruch auf Entschädigung, wenn er aus einer selbständigen Erwerbstätigkeit, einschließlich land- und forstwirtschaftlicher oder gewerblicher Tätigkeit, verdrängt oder in ihrer Ausübung wesentlich beschränkt worden ist.</w:t>
      </w:r>
    </w:p>
    <w:p>
      <w:r>
        <w:t xml:space="preserve">(2) Der selbständigen Erwerbstätigkeit ist die Geschäftsführung des tätigen Teilhabers einer Kapitalgesellschaft des Handelsrechts gleichzuachten, der mit mehr als 50 vom Hundert am Kapital der Gesellschaft beteiligt war.</w:t>
      </w:r>
    </w:p>
    <w:p>
      <w:r>
        <w:t xml:space="preserve">(3) Wesentlich ist in der Regel die Beschränkung der selbständigen Erwerbstätigkeit, wenn die Beschränkung in der Gesamtzeit der Schädigung zu einer Einkommensminderung von mehr als 25 vom Hundert geführt hat.</w:t>
      </w:r>
    </w:p>
    <w:p>
      <w:r>
        <w:rPr>
          <w:color w:val="555555"/>
          <w:sz w:val="17"/>
        </w:rPr>
        <w:t xml:space="preserve">Zitiervorschlag: § 66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