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für Schaden im beruflichen und im wirtschaftlichen Fortkommen, wenn er im Zuge einer im Reichsgebiet nach dem Stande vom 31. Dezember 1937 oder im Gebiet der Freien Stadt Danzig begonnenen Verfolgung in seinem beruflichen oder in seinem wirtschaftlichen Fortkommen nicht nur geringfügig benachteiligt worden ist. Ist der Verfolgte Vertriebener im Sinne des § 1 des Bundesvertriebenengesetzes, so hat er den Anspruch auch dann, wenn die Verfolgung im Vertreibungsgebiet begonnen hat.</w:t>
      </w:r>
    </w:p>
    <w:p>
      <w:r>
        <w:t xml:space="preserve">(2) Gehört der Verfolgte zu einem Personenkreis, den in seiner Gesamtheit die nationalsozialistische deutsche Regierung oder die NSDAP vom kulturellen oder wirtschaftlichen Leben Deutschlands auszuschließen beabsichtigte, so wird vermutet, daß der Schaden im beruflichen und im wirtschaftlichen Fortkommen durch nationalsozialistische Gewaltmaßnahmen verursacht worden ist.</w:t>
      </w:r>
    </w:p>
    <w:p>
      <w:r>
        <w:rPr>
          <w:color w:val="555555"/>
          <w:sz w:val="17"/>
        </w:rPr>
        <w:t xml:space="preserve">Zitiervorschlag: § 64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