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hat den Anspruch nach § 59 auch dann, wenn die Sonderabgabe ganz oder teilweise mittels Vermögensgegenständen, die als solche der Rückerstattung unterliegen, entrichtet worden ist. Die dem Verfolgten zustehenden Rückerstattungsansprüche gehen bis zur Höhe der nach § 59 für den Annahmewert der einzelnen entzogenen Vermögensgegenstände zu leistenden Entschädigung auf das leistende Land über. Ein Verzicht des Verfolgten auf den Rückerstattungsanspruch hat gegenüber dem leistenden Land keine Wirkung. Hat der Verfolgte im Wege der Rückerstattung Leistungen erhalten, so ist der Wert dieser Leistungen auf die Entschädigung anzurechnen. Anzurechnen sind auch Vorleistungen und Darlehen, die mit der Maßgabe einer Verrechnung nach Regelung der rückerstattungsrechtlichen Geldverbindlichkeiten des Deutschen Reiches und gleichgestellter Rechtsträger gewährt worden sind.</w:t>
      </w:r>
    </w:p>
    <w:p>
      <w:r>
        <w:t xml:space="preserve">(2) Hat der Verfolgte die Sonderabgabe ganz oder teilweise aus dem Erlös eines der Rückerstattung unterliegenden Vermögensgegenstandes entrichtet und ist er nach den Rechtsvorschriften zur Rückerstattung feststellbarer Vermögensgegenstände zur Rückgewähr des Kaufpreises oder zur Abtretung des Wiedergutmachungsanspruchs wegen des nicht erlangten oder des nicht in seine freie Verfügung gelangten Kaufpreises verpflichtet, so wird der Anspruch nach § 59 insoweit im Verhältnis 10:1 in Deutsche Mark umgerechnet. Der Anspruch nach § 59 besteht nicht, wenn der Verfolgte den der Rückerstattung unterliegenden Vermögensgegenstand zurückerhalten hat oder zurückerhält, aber weder den Kaufpreis zurückgewährt noch den Wiedergutmachungsanspruch wegen des nicht erlangten oder des nicht in seine freie Verfügung gelangten Kaufpreises abgetreten hat.</w:t>
      </w:r>
    </w:p>
    <w:p>
      <w:r>
        <w:rPr>
          <w:color w:val="555555"/>
          <w:sz w:val="17"/>
        </w:rPr>
        <w:t xml:space="preserve">Zitiervorschlag: § 60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