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Verfolgte hat Anspruch auf Entschädigung für entrichtete Sonderabgaben, die ihm aus den Verfolgungsgründen des § 1 auferlegt worden sind. Nutzungsschäden werden nicht ersetzt.</w:t>
      </w:r>
    </w:p>
    <w:p>
      <w:r>
        <w:t xml:space="preserve">(2) Als Sonderabgaben gelten auch</w:t>
      </w:r>
    </w:p>
    <w:p>
      <w:pPr>
        <w:ind w:left="420"/>
      </w:pPr>
      <w:r>
        <w:t xml:space="preserve">1. der Verlust, der dem Verfolgten aus der Aufzwingung eines Heimeinkaufsvertrages entstanden ist;</w:t>
      </w:r>
    </w:p>
    <w:p>
      <w:pPr>
        <w:ind w:left="420"/>
      </w:pPr>
      <w:r>
        <w:t xml:space="preserve">2. die Abgaben an die Deutsche Golddiskontbank zur Erlangung einer Ausfuhrgenehmigung;</w:t>
      </w:r>
    </w:p>
    <w:p>
      <w:pPr>
        <w:ind w:left="420"/>
      </w:pPr>
      <w:r>
        <w:t xml:space="preserve">3. die Entrichtung von Reichsfluchtsteuer;</w:t>
      </w:r>
    </w:p>
    <w:p>
      <w:pPr>
        <w:ind w:left="420"/>
      </w:pPr>
      <w:r>
        <w:t xml:space="preserve">4. die Zahlung von Säumniszuschlägen, Verzugszinsen, Bankspesen und Vollstreckungskosten, die aus Anlaß der Entrichtung von Sonderabgaben entstanden sind.</w:t>
      </w:r>
    </w:p>
    <w:p>
      <w:r>
        <w:t xml:space="preserve">Abgaben an die Deutsche Golddiskontbank und Entrichtung von Reichsfluchtsteuer gelten als Sonderabgaben nur, wenn der Verfolgte aus den Verfolgungsgründen des § 1 zur Auswanderung genötigt gewesen ist.</w:t>
      </w:r>
    </w:p>
    <w:p>
      <w:r>
        <w:rPr>
          <w:color w:val="555555"/>
          <w:sz w:val="17"/>
        </w:rPr>
        <w:t xml:space="preserve">Zitiervorschlag: § 59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