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Entschädigung nach §§ 51, 54 darf für den einzelnen Verfolgten insgesamt den Betrag von 75.000 Deutsche Mark nicht übersteigen. Dies gilt auch, wenn dem Verfolgten teils allein, teils auf Grund seiner Zugehörigkeit zu einer Gesamthands- oder Bruchteilsgemeinschaft, die weder ein nichtrechtsfähiger Verein noch eine nichtrechtsfähige Gesellschaft des bürgerlichen Rechts oder des Handelsrechts ist, Entschädigungsansprüche zustehen.</w:t>
      </w:r>
    </w:p>
    <w:p>
      <w:r>
        <w:t xml:space="preserve">(2) Werden von den in § 53 genannten Nachfolgeorganisationen Ansprüche auf Entschädigung geltend gemacht, so gilt der Höchstbetrag des Absatzes 1 für die Entschädigung, die der Nachfolgeorganisation an Stelle des einzelnen Verfolgten zusteht.</w:t>
      </w:r>
    </w:p>
    <w:p>
      <w:r>
        <w:rPr>
          <w:color w:val="555555"/>
          <w:sz w:val="17"/>
        </w:rPr>
        <w:t xml:space="preserve">Zitiervorschlag: § 55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