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Ist ein Verfolgter vor dem 31. Dezember 1952 verstorben und hatte er seinen letzten Wohnsitz oder dauernden Aufenthalt außerhalb des Geltungsbereiches dieses Gesetzes, aber im Reichsgebiet nach dem Stande vom 31. Dezember 1937 oder im Gebiet der Freien Stadt Danzig, so hat die nicht wiederverheiratete, von der Verfolgung mitbetroffene Witwe Anspruch auf Entschädigung, sofern sie die Voraussetzungen des § 4 erfüllt. Dies gilt nicht, wenn der Verfolgte erst nach Beendigung der nationalsozialistischen Gewaltherrschaft seinen Wohnsitz oder dauernden Aufenthalt in dem in Satz 1 bezeichneten Gebiet begründet hat.</w:t>
      </w:r>
    </w:p>
    <w:p>
      <w:r>
        <w:t xml:space="preserve">(2) Der Anspruch nach Absatz 1 besteht nur insoweit, als der Anspruch des Verfolgten auf die Witwe im Erbwege übergegangen wäre, wenn der Verfolgte die Voraussetzungen des § 4 erfüllt haben würde. Der Anspruch ist weder übertragbar noch vererblich.</w:t>
      </w:r>
    </w:p>
    <w:p>
      <w:r>
        <w:t xml:space="preserve">(3) Absätze 1 und 2 gelten sinngemäß zugunsten des Witwers einer Verfolgten.</w:t>
      </w:r>
    </w:p>
    <w:p>
      <w:r>
        <w:rPr>
          <w:color w:val="555555"/>
          <w:sz w:val="17"/>
        </w:rPr>
        <w:t xml:space="preserve">Zitiervorschlag: § 4a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