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er in der Zeit vom 30. Januar 1933 bis zum 8. Mai 1945 den Judenstern getragen oder unter menschenunwürdigen Bedingungen in der Illegalität gelebt hat.</w:t>
      </w:r>
    </w:p>
    <w:p>
      <w:r>
        <w:t xml:space="preserve">(2) Hat der Verfolgte unter falschem Namen gelebt, so wird vermutet, daß er in der Illegalität unter menschenunwürdigen Bedingungen gelebt hat.</w:t>
      </w:r>
    </w:p>
    <w:p>
      <w:r>
        <w:rPr>
          <w:color w:val="555555"/>
          <w:sz w:val="17"/>
        </w:rPr>
        <w:t xml:space="preserve">Zitiervorschlag: § 47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