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43 BEG</w:t>
      </w:r>
    </w:p>
    <w:p>
      <w:r>
        <w:rPr>
          <w:color w:val="555555"/>
          <w:sz w:val="18"/>
        </w:rPr>
        <w:t xml:space="preserve">Bundesentschädigungsgesetz</w:t>
      </w:r>
    </w:p>
    <w:p>
      <w:r>
        <w:rPr>
          <w:color w:val="555555"/>
          <w:sz w:val="18"/>
        </w:rPr>
        <w:t xml:space="preserve">Stand: 10.06.2019 (konsolidierte Textfassung, kein amtliches Inkrafttretensdatum)</w:t>
      </w:r>
    </w:p>
    <w:p>
      <w:r>
        <w:t xml:space="preserve">(1) Der Verfolgte hat Anspruch auf Entschädigung, wenn ihm in der Zeit vom 30. Januar 1933 bis zum 8. Mai 1945 die Freiheit entzogen worden ist. Dies gilt auch dann, wenn ein ausländischer Staat unter Mißachtung rechtsstaatlicher Grundsätze die Freiheit entzogen hat und</w:t>
      </w:r>
    </w:p>
    <w:p>
      <w:pPr>
        <w:ind w:left="420"/>
      </w:pPr>
      <w:r>
        <w:t xml:space="preserve">1. die Freiheitsentziehung dadurch ermöglicht worden ist, daß der Verfolgte die deutsche Staatsangehörigkeit oder den Schutz des Deutschen Reiches verloren hat, oder</w:t>
      </w:r>
    </w:p>
    <w:p>
      <w:pPr>
        <w:ind w:left="420"/>
      </w:pPr>
      <w:r>
        <w:t xml:space="preserve">2. die Regierung des ausländischen Staates von der nationalsozialistischen deutschen Regierung zu der Freiheitsentziehung veranlaßt worden ist;</w:t>
      </w:r>
    </w:p>
    <w:p>
      <w:r>
        <w:t xml:space="preserve">bei den von den Regierungen der Staaten Bulgarien, Rumänien und Ungarn aus Gründen der Rasse vorgenommenen Freiheitsentziehungen gilt der 6. April 1941 als Zeitpunkt für den Beginn der deutschen Veranlassung.</w:t>
      </w:r>
    </w:p>
    <w:p>
      <w:r>
        <w:t xml:space="preserve">(2) Freiheitsentziehungen sind insbesondere polizeiliche oder militärische Haft, Inhaftnahme durch die NSDAP, Untersuchungshaft, Strafhaft, Konzentrationslagerhaft und Zwangsaufenthalt in einem Ghetto.</w:t>
      </w:r>
    </w:p>
    <w:p>
      <w:r>
        <w:t xml:space="preserve">(3) Der Freiheitsentziehung werden Leben unter haftähnlichen Bedingungen, Zwangsarbeit unter haftähnlichen Bedingungen und Zugehörigkeit zu einer Straf- oder Bewährungseinheit der Wehrmacht gleichgeachtet.</w:t>
      </w:r>
    </w:p>
    <w:p>
      <w:r>
        <w:rPr>
          <w:color w:val="555555"/>
          <w:sz w:val="17"/>
        </w:rPr>
        <w:t xml:space="preserve">Zitiervorschlag: § 43 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https://recht.nulegal.eu/gesetze/BEG/43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