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Grad der Minderung und der Beeinträchtigung der Erwerbsfähigkeit ist danach zu beurteilen, wie weit der Verfolgte im allgemeinen Erwerbsleben geistig und körperlich leistungsfähig ist. Der vor dem Beginn der Verfolgung ausgeübte Beruf oder eine vor diesem Zeitpunkt bereits begonnene oder nachweisbar angestrebte Berufsausbildung ist zu berücksichtigen.</w:t>
      </w:r>
    </w:p>
    <w:p>
      <w:r>
        <w:t xml:space="preserve">(2) Stand der Verfolgte vor dem Beginn der Verfolgung wegen seines Alters noch nicht im Erwerbsleben, so sind die Minderung und die Beeinträchtigung der Erwerbsfähigkeit nach dem Grade zu bemessen, der sich bei Erwachsenen mit gleicher Schädigung an Körper oder Gesundheit ergeben würde.</w:t>
      </w:r>
    </w:p>
    <w:p>
      <w:r>
        <w:rPr>
          <w:color w:val="555555"/>
          <w:sz w:val="17"/>
        </w:rPr>
        <w:t xml:space="preserve">Zitiervorschlag: § 33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