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Der Verfolgte hat Anspruch auf Entschädigung, wenn er an seinem Körper oder an seiner Gesundheit nicht unerheblich geschädigt worden ist. Es genügt, daß der ursächliche Zusammenhang zwischen dem Schaden an Körper oder Gesundheit und der Verfolgung wahrscheinlich ist.</w:t>
      </w:r>
    </w:p>
    <w:p>
      <w:r>
        <w:t xml:space="preserve">(2) § 15 Abs. 2 findet entsprechende Anwendung.</w:t>
      </w:r>
    </w:p>
    <w:p>
      <w:r>
        <w:t xml:space="preserve">(3) Als unerheblich gilt eine Schädigung, die weder die geistige noch die körperliche Leistungsfähigkeit des Verfolgten nachhaltig beeinträchtigt hat und voraussichtlich auch nicht beeinträchtigen wird.</w:t>
      </w:r>
    </w:p>
    <w:p>
      <w:r>
        <w:rPr>
          <w:color w:val="555555"/>
          <w:sz w:val="17"/>
        </w:rPr>
        <w:t xml:space="preserve">Zitiervorschlag: § 28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