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Anspruch auf die laufende Rente ist weder übertragbar noch vererblich; dies gilt auch für den Anspruch der Witwe oder des Witwers auf Abfindung im Falle der Wiederverheiratung.</w:t>
      </w:r>
    </w:p>
    <w:p>
      <w:r>
        <w:t xml:space="preserve">(2) Der Anspruch auf die Summe der rückständigen Rentenbeträge und auf die Kapitalentschädigung ist vor Festsetzung oder vor rechtskräftiger gerichtlicher Entscheidung nur vererblich, wenn der Hinterbliebene von seinem Ehegatten oder seinen oder des Verfolgten Kindern, Enkeln oder Eltern beerbt wird. § 13 Abs. 3 findet entsprechende Anwendung.</w:t>
      </w:r>
    </w:p>
    <w:p>
      <w:r>
        <w:rPr>
          <w:color w:val="555555"/>
          <w:sz w:val="17"/>
        </w:rPr>
        <w:t xml:space="preserve">Zitiervorschlag: § 26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