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Entschädigung vor Inkrafttreten dieses Gesetzes durch Vergleich, Verzicht oder Abfindung geregelt worden, so kann der Berechtigte innerhalb der Antragsfrist des § 189 Abs. 1 die Regelung durch Erklärung gegenüber der zuständigen Entschädigungsbehörde anfechten.</w:t>
      </w:r>
    </w:p>
    <w:p>
      <w:r>
        <w:t xml:space="preserve">(2) § 234 Abs. 4 findet entsprechende Anwendung.</w:t>
      </w:r>
    </w:p>
    <w:p>
      <w:r>
        <w:rPr>
          <w:color w:val="555555"/>
          <w:sz w:val="17"/>
        </w:rPr>
        <w:t xml:space="preserve">Zitiervorschlag: § 235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