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233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Festsetzung der nach bisherigem Recht weitergehenden Ansprüche, die sich auf entschädigungsrechtliche Vorschriften mehrerer Länder gründen, sind zuständig,</w:t>
      </w:r>
    </w:p>
    <w:p>
      <w:pPr>
        <w:ind w:left="420"/>
      </w:pPr>
      <w:r>
        <w:t xml:space="preserve">1. wenn es sich um verschiedene Schadenstatbestände handelt, die Entschädigungsbehörden des Landes, auf dessen Recht sich der jeweilige Anspruch gründet,</w:t>
      </w:r>
    </w:p>
    <w:p>
      <w:pPr>
        <w:ind w:left="420"/>
      </w:pPr>
      <w:r>
        <w:t xml:space="preserve">2. wenn es sich um denselben Schadenstatbestand handelt, die Entschädigungsbehörden des Landes, dessen Recht nach der Erklärung des Antragstellers angewandt werden soll; bei dieser Zuständigkeit behält es sein Bewenden.</w:t>
      </w:r>
    </w:p>
    <w:p>
      <w:r>
        <w:rPr>
          <w:color w:val="555555"/>
          <w:sz w:val="17"/>
        </w:rPr>
        <w:t xml:space="preserve">Zitiervorschlag: § 233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https://recht.nulegal.eu/gesetze/BEG/233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