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227c BEG</w:t>
      </w:r>
    </w:p>
    <w:p>
      <w:r>
        <w:rPr>
          <w:color w:val="555555"/>
          <w:sz w:val="18"/>
        </w:rPr>
        <w:t xml:space="preserve">Bundesentschädigungsgesetz</w:t>
      </w:r>
    </w:p>
    <w:p>
      <w:r>
        <w:rPr>
          <w:color w:val="555555"/>
          <w:sz w:val="18"/>
        </w:rPr>
        <w:t xml:space="preserve">Stand: 01.01.2024 (konsolidierte Textfassung, kein amtliches Inkrafttretensdatum)</w:t>
      </w:r>
    </w:p>
    <w:p>
      <w:r>
        <w:t xml:space="preserve">Ärztliche und zahnärztliche Leistungen werden nach den für die Behandlung von Geschädigten im Sinne des Vierzehnten Buches Sozialgesetzbuch maßgebenden Sätzen vergütet. Apotheker und andere der Krankenbehandlung dienende Personen sowie Krankenanstalten und Einrichtungen haben nur auf die für Mitglieder der Krankenkasse zu zahlende Vergütung Anspruch.</w:t>
      </w:r>
    </w:p>
    <w:p>
      <w:r>
        <w:rPr>
          <w:color w:val="555555"/>
          <w:sz w:val="17"/>
        </w:rPr>
        <w:t xml:space="preserve">Zitiervorschlag: § 227c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https://recht.nulegal.eu/gesetze/BEG/227c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