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227b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den Trägern der gesetzlichen Krankenversicherung auf Grund der §§ 141a und 141c entstehenden Aufwendungen zuzüglich eines Verwaltungskostenanteils von 8 vom Hundert der Aufwendungen werden von dem nach § 185 zuständigen Lande ersetzt.</w:t>
      </w:r>
    </w:p>
    <w:p>
      <w:r>
        <w:t xml:space="preserve">(2) Ersatzansprüche nach Absatz 1 verjähren in zwei Jahren. Die Verjährung beginnt mit Ablauf des Jahres, in dem die Krankenkasse die Aufwendungen für die Krankenversorgung erbracht hat.</w:t>
      </w:r>
    </w:p>
    <w:p>
      <w:r>
        <w:t xml:space="preserve">(3) Absatz 2 gilt entsprechend für Rückforderungsansprüche des Landes wegen zu Unrecht gewährten Kostenersatzes. Die Verjährung beginnt mit dem Ablauf des Jahres, in dem der Krankenkasse die Aufwendungen ersetzt worden sind.</w:t>
      </w:r>
    </w:p>
    <w:p>
      <w:r>
        <w:rPr>
          <w:color w:val="555555"/>
          <w:sz w:val="17"/>
        </w:rPr>
        <w:t xml:space="preserve">Zitiervorschlag: § 227b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https://recht.nulegal.eu/gesetze/BEG/227b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