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Krankenversorgung wird von der Allgemeinen Ortskrankenkasse durchgeführt, in deren Bezirk der Verfolgte seinen Wohnsitz oder dauernden Aufenthalt hat.</w:t>
      </w:r>
    </w:p>
    <w:p>
      <w:r>
        <w:t xml:space="preserve">(2) Bei Streitigkeiten über die Durchführung der Krankenversorgung ist der Sozialrechtsweg gegeben. Die Vorschriften des Sozialgerichtsgesetzes für Streitigkeiten in Angelegenheiten der gesetzlichen Krankenversicherung gelten entsprechend.</w:t>
      </w:r>
    </w:p>
    <w:p>
      <w:r>
        <w:t xml:space="preserve">(3) Titel 1 bis 4 dieses Abschnitts finden insoweit keine Anwendung.</w:t>
      </w:r>
    </w:p>
    <w:p>
      <w:r>
        <w:t xml:space="preserve">(4) Haben der Verfolgte oder seine Familienangehörigen, für die er nach § 141a Anspruch auf Krankenversorgung hat, nach anderen gesetzlichen Vorschriften Anspruch auf Ersatz des Schadens, der ihnen durch die Krankheit erwachsen ist, so geht dieser Anspruch insoweit auf das nach § 185 zuständige Land über, als nach diesem Gesetz Krankenversorgung zu gewähren ist. Der Übergang des Anspruchs kann nicht zum Nachteil des Verfolgten geltend gemacht werden.</w:t>
      </w:r>
    </w:p>
    <w:p>
      <w:r>
        <w:rPr>
          <w:color w:val="555555"/>
          <w:sz w:val="17"/>
        </w:rPr>
        <w:t xml:space="preserve">Zitiervorschlag: § 227a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