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vor den Entschädigungsgerichten sind Gebühren und Auslagen der Rechtsanwälte nach § 91 Abs. 2 der Zivilprozeßordnung zu erstatten.</w:t>
      </w:r>
    </w:p>
    <w:p>
      <w:r>
        <w:t xml:space="preserve">(2) Hat sich das Land in dem Verfahren vor den Landgerichten und Oberlandesgerichten durch einen Rechtsanwalt vertreten lassen, so werden die dem Land erwachsenen Gebühren und Auslagen eines Rechtsanwalts nicht erstattet.</w:t>
      </w:r>
    </w:p>
    <w:p>
      <w:r>
        <w:t xml:space="preserve">(3) Für die Gebühren und Auslagen der Rechtsanwälte sind die für bürgerliche Rechtsstreitigkeiten geltenden Vorschriften entsprechend anzuwenden.</w:t>
      </w:r>
    </w:p>
    <w:p>
      <w:r>
        <w:t xml:space="preserve">(4) Absätze 1 und 3 finden auf die Gebühren der in § 183 Abs. 1 bezeichneten Personen entsprechende Anwendung.</w:t>
      </w:r>
    </w:p>
    <w:p>
      <w:r>
        <w:rPr>
          <w:color w:val="555555"/>
          <w:sz w:val="17"/>
        </w:rPr>
        <w:t xml:space="preserve">Zitiervorschlag: § 227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