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225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Verfahren vor den Entschädigungsgerichten sowie Beweissicherungsverfahren sind gebühren- und auslagenfrei.</w:t>
      </w:r>
    </w:p>
    <w:p>
      <w:r>
        <w:t xml:space="preserve">(2) Für offensichtlich unbegründete Klagen oder Rechtsmittel können dem Kläger die Kosten auferlegt werden. Ist die Rechtsverfolgung offenbar mutwillig, so kann ein Kostenvorschuß erhoben werden.</w:t>
      </w:r>
    </w:p>
    <w:p>
      <w:r>
        <w:t xml:space="preserve">(3) Bei wiederkehrenden Leistungen ist der Streitwert nach § 9 der Zivilprozessordnung zu berechnen.</w:t>
      </w:r>
    </w:p>
    <w:p>
      <w:r>
        <w:t xml:space="preserve">(4) § 207 Abs. 3 findet entsprechende Anwendung.</w:t>
      </w:r>
    </w:p>
    <w:p>
      <w:r>
        <w:rPr>
          <w:color w:val="555555"/>
          <w:sz w:val="17"/>
        </w:rPr>
        <w:t xml:space="preserve">Zitiervorschlag: § 225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https://recht.nulegal.eu/gesetze/BEG/225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