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224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Verfahren vor den Landgerichten besteht kein Anwaltszwang.</w:t>
      </w:r>
    </w:p>
    <w:p>
      <w:r>
        <w:t xml:space="preserve">(2) Im Verfahren vor den Oberlandesgerichten besteht für das Land kein Anwaltszwang.</w:t>
      </w:r>
    </w:p>
    <w:p>
      <w:r>
        <w:t xml:space="preserve">(3) Im Verfahren vor den Landgerichten und vor den Oberlandesgerichten hängt die Beiordnung eines Rechtsanwalts im Wege der Prozeßkostenhilfe nicht davon ab, daß er in dem Bezirk des Prozessgerichts niedergelassen ist.</w:t>
      </w:r>
    </w:p>
    <w:p>
      <w:r>
        <w:t xml:space="preserve">(4) In der Revisionsinstanz besteht uneingeschränkt Anwaltszwang mit der Maßgabe, daß sich die Parteien auch durch einen nicht bei dem Bundesgerichtshof zugelassenen Rechtsanwalt vertreten lassen können.</w:t>
      </w:r>
    </w:p>
    <w:p>
      <w:r>
        <w:rPr>
          <w:color w:val="555555"/>
          <w:sz w:val="17"/>
        </w:rPr>
        <w:t xml:space="preserve">Zitiervorschlag: § 224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https://recht.nulegal.eu/gesetze/BEG/224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