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221 BEG</w:t>
      </w:r>
    </w:p>
    <w:p>
      <w:r>
        <w:rPr>
          <w:color w:val="555555"/>
          <w:sz w:val="18"/>
        </w:rPr>
        <w:t xml:space="preserve">Bundesentschädigungsgesetz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Ohne Zulassung findet die Revision statt, soweit es sich um die Unzulässigkeit des Rechtsweges oder die Unzulässigkeit der Berufung handelt.</w:t>
      </w:r>
    </w:p>
    <w:p>
      <w:r>
        <w:t xml:space="preserve">(2) § 566 der Zivilprozeßordnung findet keine Anwendung.</w:t>
      </w:r>
    </w:p>
    <w:p>
      <w:r>
        <w:rPr>
          <w:color w:val="555555"/>
          <w:sz w:val="17"/>
        </w:rPr>
        <w:t xml:space="preserve">Zitiervorschlag: § 221 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https://recht.nulegal.eu/gesetze/BEG/221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