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Endurteile des Oberlandesgerichts findet die Revision an den Bundesgerichtshof statt, wenn das Oberlandesgericht die Revision zugelassen hat.</w:t>
      </w:r>
    </w:p>
    <w:p>
      <w:r>
        <w:t xml:space="preserve">(2) Die Revision ist zuzulassen, wenn</w:t>
      </w:r>
    </w:p>
    <w:p>
      <w:pPr>
        <w:ind w:left="420"/>
      </w:pPr>
      <w:r>
        <w:t xml:space="preserve">1. eine Rechtsfrage von grundsätzlicher Bedeutung zu entscheiden ist;</w:t>
      </w:r>
    </w:p>
    <w:p>
      <w:pPr>
        <w:ind w:left="420"/>
      </w:pPr>
      <w:r>
        <w:t xml:space="preserve">2. das Urteil von einer Entscheidung des Bundesgerichtshofs abweicht und auf dieser Abweichung beruht;</w:t>
      </w:r>
    </w:p>
    <w:p>
      <w:pPr>
        <w:ind w:left="420"/>
      </w:pPr>
      <w:r>
        <w:t xml:space="preserve">3. die Fortbildung des Rechts oder die Sicherung einer einheitlichen Rechtsprechung eine Entscheidung des Bundesgerichtshofs erfordert;</w:t>
      </w:r>
    </w:p>
    <w:p>
      <w:pPr>
        <w:ind w:left="420"/>
      </w:pPr>
      <w:r>
        <w:t xml:space="preserve">4. streitig ist, ob das Land, gegen das der Anspruch auf Entschädigung gerichtet ist (§ 188), zu Recht als zuständig in Anspruch genommen ist.</w:t>
      </w:r>
    </w:p>
    <w:p>
      <w:r>
        <w:t xml:space="preserve">(3) Über die Zulassung oder Nichtzulassung der Revision ist im Urteil zu befinden. Die Nichtzulassung ist zu begründen.</w:t>
      </w:r>
    </w:p>
    <w:p>
      <w:r>
        <w:t xml:space="preserve">(4) Für die Einlegung und Begründung der Revision gilt § 218 Abs. 2 entsprechend.</w:t>
      </w:r>
    </w:p>
    <w:p>
      <w:r>
        <w:rPr>
          <w:color w:val="555555"/>
          <w:sz w:val="17"/>
        </w:rPr>
        <w:t xml:space="preserve">Zitiervorschlag: § 219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https://recht.nulegal.eu/gesetze/BEG/219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