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Anspruch auf Entschädigung durch rechtskräftige gerichtliche Entscheidung oder durch Prozeßvergleich festgesetzt und stellt sich nachträglich heraus, daß ein Verwirkungsgrund nach § 6 Abs. 3, § 145 Abs. 2 oder ein Entziehungsgrund nach § 7 Abs. 2 vorliegt, so kann das Land vor dem für den Sitz der Entschädigungsbehörde zuständigen Landgericht Klage mit dem Antrag erheben, unter Aufhebung der gerichtlichen Entscheidung oder des Prozeßvergleichs den Anspruch auf Entschädigung abzuweisen.</w:t>
      </w:r>
    </w:p>
    <w:p>
      <w:r>
        <w:t xml:space="preserve">(2) Im Falle des Absatzes 1 ist der Anspruch auf Rückzahlung der nach Eintritt eines Verwirkungs- oder Entziehungsgrundes bewirkten Leistungen zugleich mit der Klage geltend zu machen.</w:t>
      </w:r>
    </w:p>
    <w:p>
      <w:r>
        <w:t xml:space="preserve">(3) Die Klage kann nur innerhalb einer Frist von sechs Monaten erhoben werden. Die Frist beginnt mit dem Tage, an dem die Entschädigungsbehörde von dem Verwirkungs- oder Entziehungsgrund Kenntnis erlangt hat.</w:t>
      </w:r>
    </w:p>
    <w:p>
      <w:r>
        <w:rPr>
          <w:color w:val="555555"/>
          <w:sz w:val="17"/>
        </w:rPr>
        <w:t xml:space="preserve">Zitiervorschlag: § 213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