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Soweit durch den Bescheid der Entschädigungsbehörde der geltend gemachte Anspruch abgelehnt worden ist, kann der Antragsteller innerhalb einer Frist von drei Monaten Klage gegen das Land vor dem für den Sitz der Entschädigungsbehörde zuständigen Landgericht erheben.</w:t>
      </w:r>
    </w:p>
    <w:p>
      <w:r>
        <w:t xml:space="preserve">(2) Wohnt der Antragsteller im außereuropäischen Ausland, so tritt an Stelle der Frist von drei Monaten eine Frist von sechs Monaten.</w:t>
      </w:r>
    </w:p>
    <w:p>
      <w:r>
        <w:t xml:space="preserve">(3) Die Fristen nach Absatz 1 und 2 sind Notfristen; sie beginnen mit der Zustellung des Bescheides.</w:t>
      </w:r>
    </w:p>
    <w:p>
      <w:r>
        <w:rPr>
          <w:color w:val="555555"/>
          <w:sz w:val="17"/>
        </w:rPr>
        <w:t xml:space="preserve">Zitiervorschlag: § 210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