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Widerrufsbescheid ist vorläufig vollstreckbar, soweit die Entscheidungsformel die Verpflichtung zur Rückzahlung bestimmter Beträge enthält.</w:t>
      </w:r>
    </w:p>
    <w:p>
      <w:r>
        <w:t xml:space="preserve">(2) Die Zwangsvollstreckung richtet sich nach den Vorschriften der Zivilprozeßordnung über die Vollstreckung von Urteilen in bürgerlichen Rechtsstreitigkeiten. Die vollstreckbare Ausfertigung wird von der Entschädigungsbehörde erteilt.</w:t>
      </w:r>
    </w:p>
    <w:p>
      <w:r>
        <w:t xml:space="preserve">(3) Für Klagen, durch die Einwendungen gegen den Anspruch selbst geltend gemacht werden (§ 767 der Zivilprozeßordnung), ist das Entschädigungsgericht erster Instanz zuständig, in dessen Bezirk die Entschädigungsbehörde ihren Sitz hat.</w:t>
      </w:r>
    </w:p>
    <w:p>
      <w:r>
        <w:rPr>
          <w:color w:val="555555"/>
          <w:sz w:val="17"/>
        </w:rPr>
        <w:t xml:space="preserve">Zitiervorschlag: § 205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