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Will die Entschädigungsbehörde im Falle des § 200 von der Möglichkeit der Rückforderung der nach Eintritt eines Verwirkungsgrundes bewirkten Leistungen Gebrauch machen, so hat sie die Verpflichtung zur Rückzahlung dieser Leistungen in dem Widerrufsbescheid auszusprechen.</w:t>
      </w:r>
    </w:p>
    <w:p>
      <w:r>
        <w:t xml:space="preserve">(2) Absatz 1 findet entsprechende Anwendung, wenn die Entschädigungsbehörde in den Fällen der §§ 201, 202 von der Möglichkeit der Rückforderung bereits bewirkter Leistungen Gebrauch machen will.</w:t>
      </w:r>
    </w:p>
    <w:p>
      <w:r>
        <w:rPr>
          <w:color w:val="555555"/>
          <w:sz w:val="17"/>
        </w:rPr>
        <w:t xml:space="preserve">Zitiervorschlag: § 204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