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203 BEG</w:t>
      </w:r>
    </w:p>
    <w:p>
      <w:r>
        <w:rPr>
          <w:color w:val="555555"/>
          <w:sz w:val="18"/>
        </w:rPr>
        <w:t xml:space="preserve">Bundesentschädigungsgesetz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Widerruf ist durch Bescheid auszusprechen.</w:t>
      </w:r>
    </w:p>
    <w:p>
      <w:r>
        <w:t xml:space="preserve">(2) Die Widerrufsfrist beträgt sechs Monate. Sie beginnt mit dem Tage, an dem die Entschädigungsbehörde von dem Widerrufsgrund Kenntnis erlangt hat.</w:t>
      </w:r>
    </w:p>
    <w:p>
      <w:r>
        <w:rPr>
          <w:color w:val="555555"/>
          <w:sz w:val="17"/>
        </w:rPr>
        <w:t xml:space="preserve">Zitiervorschlag: § 203 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https://recht.nulegal.eu/gesetze/BEG/203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