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Entschädigungsbehörde hat einen zugunsten des Antragstellers ergangenen Bescheid zu widerrufen, wenn sich nach Erlaß des Bescheides herausstellt, daß ein Verwirkungsgrund nach § 6 Abs. 3, § 145 Abs. 2 vorliegt.</w:t>
      </w:r>
    </w:p>
    <w:p>
      <w:r>
        <w:t xml:space="preserve">(2) Absatz 1 findet auf Vergleiche, die im Verfahren bei den Entschädigungsbehörden abgeschlossen worden sind, entsprechende Anwendung.</w:t>
      </w:r>
    </w:p>
    <w:p>
      <w:r>
        <w:rPr>
          <w:color w:val="555555"/>
          <w:sz w:val="17"/>
        </w:rPr>
        <w:t xml:space="preserve">Zitiervorschlag: § 200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