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bei Ansprüchen für Schaden im beruflichen Fortkommen ein Wahlrecht gegeben, so hat die Entschädigungsbehörde in dem Bescheid auch den Anspruch der Höhe nach festzusetzen, der gewählt werden kann. In diesem Falle wird nur der Betrag der Kapitalentschädigung ausgezahlt, der der Summe der rückständigen Rentenbeträge im Zeitpunkt der Festsetzung und der Entschädigung nach § 83 Abs. 3, § 86 Abs. 3 oder § 98 entspricht; der Restbetrag der Kapitalentschädigung wird ausgezahlt, wenn der Berechtigte auf das Wahlrecht verzichtet hat oder die Frist zur Ausübung des Wahlrechts abgelaufen ist, ohne daß es der Berechtigte ausgeübt hat.</w:t>
      </w:r>
    </w:p>
    <w:p>
      <w:r>
        <w:t xml:space="preserve">(2) Ist ein Wahlrecht nicht gegeben, so hat die Entschädigungsbehörde die Kapitalentschädigung festzusetzen und in dem Bescheid zugleich festzustellen, daß ein Wahlrecht nicht gegeben ist. Dies gilt auch dann, wenn der Berechtigte die Rente noch nicht gewählt hat. In diesem Falle wird die Kapitalentschädigung erst ausgezahlt, wenn der Bescheid unanfechtbar geworden oder durch rechtskräftiges Urteil festgestellt worden ist, daß ein Rentenwahlrecht nicht besteht.</w:t>
      </w:r>
    </w:p>
    <w:p>
      <w:r>
        <w:t xml:space="preserve">(3) Absatz 1 findet keine Anwendung, wenn das Wahlrecht vor Entscheidung über den Anspruch bereits ausgeübt worden ist.</w:t>
      </w:r>
    </w:p>
    <w:p>
      <w:r>
        <w:rPr>
          <w:color w:val="555555"/>
          <w:sz w:val="17"/>
        </w:rPr>
        <w:t xml:space="preserve">Zitiervorschlag: § 199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