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Verpflichtung des Arbeitgebers zur Einräumung des früheren oder eines gleichwertigen Arbeitsplatzes ist durch besonderen Bescheid zu entscheiden.</w:t>
      </w:r>
    </w:p>
    <w:p>
      <w:r>
        <w:t xml:space="preserve">(2) Der Bescheid ist auch dem Arbeitgeber zuzustellen. § 197 Abs. 1 findet Anwendung.</w:t>
      </w:r>
    </w:p>
    <w:p>
      <w:r>
        <w:rPr>
          <w:color w:val="555555"/>
          <w:sz w:val="17"/>
        </w:rPr>
        <w:t xml:space="preserve">Zitiervorschlag: § 198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