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197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Zustellungen erfolgen nach den Vorschriften des Verwaltungszustellungsgesetzes.</w:t>
      </w:r>
    </w:p>
    <w:p>
      <w:r>
        <w:t xml:space="preserve">(2) Wohnt der Zustellungsempfänger nicht im Geltungsbereich dieses Gesetzes, so findet auch §§ 184 der Zivilprozeßordnung entsprechende Anwendung. Die Zustellung kann auch mit Postrückschein erfolgen.</w:t>
      </w:r>
    </w:p>
    <w:p>
      <w:r>
        <w:rPr>
          <w:color w:val="555555"/>
          <w:sz w:val="17"/>
        </w:rPr>
        <w:t xml:space="preserve">Zitiervorschlag: § 197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