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Bescheid ist dem Antragsteller zuzustellen. Ist ein Bevollmächtigter bestellt, so ist der Bescheid diesem zuzustellen.</w:t>
      </w:r>
    </w:p>
    <w:p>
      <w:r>
        <w:t xml:space="preserve">(2) In den Fällen der §§ 85a, 86 Abs. 2, §§ 97a, 98 und 157a ist der Bescheid der Witwe oder dem Witwer auch dann zuzustellen, wenn diese nicht Erben sind.</w:t>
      </w:r>
    </w:p>
    <w:p>
      <w:r>
        <w:rPr>
          <w:color w:val="555555"/>
          <w:sz w:val="17"/>
        </w:rPr>
        <w:t xml:space="preserve">Zitiervorschlag: § 196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