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193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Antragsteller und sein Bevollmächtigter können die Akten der Entschädigungsbehörde einsehen. Sie können sich daraus Auszüge und Abschriften selbst fertigen oder gegen Erstattung der Kosten erteilen lassen.</w:t>
      </w:r>
    </w:p>
    <w:p>
      <w:r>
        <w:t xml:space="preserve">(2) Aus besonderen Gründen kann dem Antragsteller die Einsicht in die Akten oder in Aktenteile sowie die Fertigung oder Erteilung von Auszügen und Abschriften versagt werden.</w:t>
      </w:r>
    </w:p>
    <w:p>
      <w:r>
        <w:t xml:space="preserve">(3) Ein Recht auf Aushändigung der Akten haben nur Rechtsanwälte. Eine Versendung von Akten oder Aktenteilen in Gebiete außerhalb des Geltungsbereichs dieses Gesetzes findet nicht statt.</w:t>
      </w:r>
    </w:p>
    <w:p>
      <w:r>
        <w:rPr>
          <w:color w:val="555555"/>
          <w:sz w:val="17"/>
        </w:rPr>
        <w:t xml:space="preserve">Zitiervorschlag: § 193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