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Einverständnis des Antragstellers kann die Entschädigungsbehörde von öffentlichen, freien gemeinnützigen und privaten Krankenanstalten sowie Krankenanstalten öffentlich-rechtlicher Körperschaften und Trägern der Sozialversicherung Krankenpapiere, Aufzeichnungen, Krankengeschichten, Sektions- und Untersuchungsbefunde sowie Röntgenbilder zur Einsicht beiziehen. Die Entschädigungsbehörde hat für die Wahrung des ärztlichen Berufsgeheimnisses Sorge zu tragen.</w:t>
      </w:r>
    </w:p>
    <w:p>
      <w:r>
        <w:t xml:space="preserve">(2) Unter den Voraussetzungen des Absatzes 1 kann die Entschädigungsbehörde von privaten Ärzten, die den Verfolgten behandelt haben oder behandeln, Auskünfte einholen und Untersuchungsunterlagen zur Einsicht beiziehen.</w:t>
      </w:r>
    </w:p>
    <w:p>
      <w:r>
        <w:rPr>
          <w:color w:val="555555"/>
          <w:sz w:val="17"/>
        </w:rPr>
        <w:t xml:space="preserve">Zitiervorschlag: § 192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