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190a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ein Antrag auf Entschädigung nach § 189 rechtswirksam, aber ohne Darlegung des den einzelnen Entschädigungsanspruch begründenden Sachverhalts gestellt worden, so müssen die in § 190 Nr. 1 bis 4 bezeichneten Angaben bei Vermeidung des Ausschlusses bis zum 31. März 1967 nachgeholt werden. § 189 Abs. 3 findet keine Anwendung.</w:t>
      </w:r>
    </w:p>
    <w:p>
      <w:r>
        <w:t xml:space="preserve">(2) Absatz 1 findet in den Fällen der §§ 189a und 189b entsprechende Anwendung.</w:t>
      </w:r>
    </w:p>
    <w:p>
      <w:r>
        <w:rPr>
          <w:color w:val="555555"/>
          <w:sz w:val="17"/>
        </w:rPr>
        <w:t xml:space="preserve">Zitiervorschlag: § 190a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https://recht.nulegal.eu/gesetze/BEG/190a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