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Entschädigung wird nur auf Antrag gewährt. Der Antrag ist bis zum 1. April 1958 bei der zuständigen Entschädigungsbehörde zu stellen. Diese Frist gilt nicht in den Fällen der §§ 141 und 171.</w:t>
      </w:r>
    </w:p>
    <w:p>
      <w:r>
        <w:t xml:space="preserve">(2) Die Antragsfrist gilt auch dann als gewahrt, wenn der Antrag fristgemäß bei einer für Ansprüche nach diesem Gesetz unzuständigen Behörde gestellt oder wenn der Anspruch bei Gericht geltend gemacht worden ist.</w:t>
      </w:r>
    </w:p>
    <w:p>
      <w:r>
        <w:t xml:space="preserve">(3) War der Antragsteller ohne sein Verschulden verhindert, die Antragsfrist einzuhalten, so ist ihm auf Antrag Wiedereinsetzung in den vorigen Stand zu gewähren. Hat die Entschädigungsbehörde ausdrücklich oder stillschweigend Wiedereinsetzung in den vorigen Stand gewährt, so sind die Entschädigungsgerichte an diese Entscheidung gebunden.</w:t>
      </w:r>
    </w:p>
    <w:p>
      <w:r>
        <w:rPr>
          <w:color w:val="555555"/>
          <w:sz w:val="17"/>
        </w:rPr>
        <w:t xml:space="preserve">Zitiervorschlag: § 189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